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89878E" w14:textId="19222888" w:rsidR="009006ED" w:rsidRPr="0042150F" w:rsidRDefault="009006ED" w:rsidP="00EA78DA">
      <w:pPr>
        <w:pStyle w:val="Heading4"/>
        <w:spacing w:before="0"/>
        <w:jc w:val="center"/>
        <w:textAlignment w:val="baseline"/>
        <w:rPr>
          <w:rFonts w:cstheme="majorHAnsi"/>
          <w:b/>
          <w:bCs/>
          <w:i w:val="0"/>
          <w:iCs w:val="0"/>
          <w:color w:val="0D0D0D" w:themeColor="text1" w:themeTint="F2"/>
          <w:sz w:val="36"/>
          <w:szCs w:val="36"/>
          <w:bdr w:val="none" w:sz="0" w:space="0" w:color="auto" w:frame="1"/>
        </w:rPr>
      </w:pPr>
      <w:r w:rsidRPr="0042150F">
        <w:rPr>
          <w:rStyle w:val="Strong"/>
          <w:rFonts w:cstheme="majorHAnsi"/>
          <w:i w:val="0"/>
          <w:iCs w:val="0"/>
          <w:color w:val="0D0D0D" w:themeColor="text1" w:themeTint="F2"/>
          <w:sz w:val="36"/>
          <w:szCs w:val="36"/>
          <w:bdr w:val="none" w:sz="0" w:space="0" w:color="auto" w:frame="1"/>
        </w:rPr>
        <w:t>Reporting of Animal Welfare Concern and other noncompliance investigations</w:t>
      </w:r>
    </w:p>
    <w:p w14:paraId="6DE054EA" w14:textId="79ABC7B1" w:rsidR="009006ED" w:rsidRPr="0042150F" w:rsidRDefault="009006ED" w:rsidP="009006ED">
      <w:pPr>
        <w:rPr>
          <w:rFonts w:asciiTheme="majorHAnsi" w:hAnsiTheme="majorHAnsi" w:cstheme="majorHAnsi"/>
          <w:color w:val="0D0D0D" w:themeColor="text1" w:themeTint="F2"/>
        </w:rPr>
      </w:pPr>
      <w:r w:rsidRPr="0042150F">
        <w:rPr>
          <w:rFonts w:asciiTheme="majorHAnsi" w:hAnsiTheme="majorHAnsi" w:cstheme="majorHAnsi"/>
          <w:color w:val="0D0D0D" w:themeColor="text1" w:themeTint="F2"/>
        </w:rPr>
        <w:t xml:space="preserve">All animal welfare concerns are taken seriously by the Cal Pomona IACUC and they have approved the following instructions and procedures for reporting and </w:t>
      </w:r>
      <w:r w:rsidR="00EA78DA" w:rsidRPr="0042150F">
        <w:rPr>
          <w:rFonts w:asciiTheme="majorHAnsi" w:hAnsiTheme="majorHAnsi" w:cstheme="majorHAnsi"/>
          <w:color w:val="0D0D0D" w:themeColor="text1" w:themeTint="F2"/>
        </w:rPr>
        <w:t>assessment</w:t>
      </w:r>
      <w:r w:rsidRPr="0042150F">
        <w:rPr>
          <w:rFonts w:asciiTheme="majorHAnsi" w:hAnsiTheme="majorHAnsi" w:cstheme="majorHAnsi"/>
          <w:color w:val="0D0D0D" w:themeColor="text1" w:themeTint="F2"/>
        </w:rPr>
        <w:t xml:space="preserve"> on all animal care and use concerns. Anonymous reports are acceptable, and all are investigated. The identity of anyone making an anonymous report will be held in strict confidence.</w:t>
      </w:r>
    </w:p>
    <w:p w14:paraId="3544F9F9" w14:textId="25429353" w:rsidR="009006ED" w:rsidRPr="009006ED" w:rsidRDefault="00EA78DA" w:rsidP="009006ED">
      <w:pPr>
        <w:shd w:val="clear" w:color="auto" w:fill="FFFFFF"/>
        <w:spacing w:after="192" w:line="240" w:lineRule="auto"/>
        <w:outlineLvl w:val="1"/>
        <w:rPr>
          <w:rFonts w:asciiTheme="majorHAnsi" w:eastAsia="Times New Roman" w:hAnsiTheme="majorHAnsi" w:cstheme="majorHAnsi"/>
          <w:b/>
          <w:bCs/>
          <w:color w:val="0D0D0D" w:themeColor="text1" w:themeTint="F2"/>
          <w:sz w:val="32"/>
          <w:szCs w:val="32"/>
        </w:rPr>
      </w:pPr>
      <w:r w:rsidRPr="0042150F">
        <w:rPr>
          <w:rFonts w:asciiTheme="majorHAnsi" w:eastAsia="Times New Roman" w:hAnsiTheme="majorHAnsi" w:cstheme="majorHAnsi"/>
          <w:b/>
          <w:bCs/>
          <w:color w:val="0D0D0D" w:themeColor="text1" w:themeTint="F2"/>
          <w:sz w:val="32"/>
          <w:szCs w:val="32"/>
        </w:rPr>
        <w:t>Preliminary Evaluation</w:t>
      </w:r>
      <w:r w:rsidR="009006ED" w:rsidRPr="009006ED">
        <w:rPr>
          <w:rFonts w:asciiTheme="majorHAnsi" w:eastAsia="Times New Roman" w:hAnsiTheme="majorHAnsi" w:cstheme="majorHAnsi"/>
          <w:b/>
          <w:bCs/>
          <w:color w:val="0D0D0D" w:themeColor="text1" w:themeTint="F2"/>
          <w:sz w:val="32"/>
          <w:szCs w:val="32"/>
        </w:rPr>
        <w:t xml:space="preserve"> and Actions </w:t>
      </w:r>
    </w:p>
    <w:p w14:paraId="32368479" w14:textId="27BEA8EB" w:rsidR="009006ED" w:rsidRPr="009006ED" w:rsidRDefault="009006ED" w:rsidP="009006ED">
      <w:pPr>
        <w:shd w:val="clear" w:color="auto" w:fill="FFFFFF"/>
        <w:spacing w:after="360" w:line="240" w:lineRule="auto"/>
        <w:rPr>
          <w:rFonts w:asciiTheme="majorHAnsi" w:eastAsia="Times New Roman" w:hAnsiTheme="majorHAnsi" w:cstheme="majorHAnsi"/>
          <w:color w:val="0D0D0D" w:themeColor="text1" w:themeTint="F2"/>
          <w:sz w:val="24"/>
          <w:szCs w:val="24"/>
        </w:rPr>
      </w:pPr>
      <w:r w:rsidRPr="009006ED">
        <w:rPr>
          <w:rFonts w:asciiTheme="majorHAnsi" w:eastAsia="Times New Roman" w:hAnsiTheme="majorHAnsi" w:cstheme="majorHAnsi"/>
          <w:color w:val="0D0D0D" w:themeColor="text1" w:themeTint="F2"/>
          <w:sz w:val="24"/>
          <w:szCs w:val="24"/>
        </w:rPr>
        <w:t xml:space="preserve">Upon receipt of a reported concern, the </w:t>
      </w:r>
      <w:r w:rsidR="00EA78DA" w:rsidRPr="0042150F">
        <w:rPr>
          <w:rFonts w:asciiTheme="majorHAnsi" w:eastAsia="Times New Roman" w:hAnsiTheme="majorHAnsi" w:cstheme="majorHAnsi"/>
          <w:color w:val="0D0D0D" w:themeColor="text1" w:themeTint="F2"/>
          <w:sz w:val="24"/>
          <w:szCs w:val="24"/>
        </w:rPr>
        <w:t xml:space="preserve">IACUC </w:t>
      </w:r>
      <w:r w:rsidRPr="009006ED">
        <w:rPr>
          <w:rFonts w:asciiTheme="majorHAnsi" w:eastAsia="Times New Roman" w:hAnsiTheme="majorHAnsi" w:cstheme="majorHAnsi"/>
          <w:color w:val="0D0D0D" w:themeColor="text1" w:themeTint="F2"/>
          <w:sz w:val="24"/>
          <w:szCs w:val="24"/>
        </w:rPr>
        <w:t xml:space="preserve">Chair, in consultation with the </w:t>
      </w:r>
      <w:r w:rsidR="00BC7D77" w:rsidRPr="0042150F">
        <w:rPr>
          <w:rFonts w:asciiTheme="majorHAnsi" w:eastAsia="Times New Roman" w:hAnsiTheme="majorHAnsi" w:cstheme="majorHAnsi"/>
          <w:color w:val="0D0D0D" w:themeColor="text1" w:themeTint="F2"/>
          <w:sz w:val="24"/>
          <w:szCs w:val="24"/>
        </w:rPr>
        <w:t>Attending</w:t>
      </w:r>
      <w:r w:rsidRPr="009006ED">
        <w:rPr>
          <w:rFonts w:asciiTheme="majorHAnsi" w:eastAsia="Times New Roman" w:hAnsiTheme="majorHAnsi" w:cstheme="majorHAnsi"/>
          <w:color w:val="0D0D0D" w:themeColor="text1" w:themeTint="F2"/>
          <w:sz w:val="24"/>
          <w:szCs w:val="24"/>
        </w:rPr>
        <w:t xml:space="preserve"> Veterinarian, shall take immediate steps to </w:t>
      </w:r>
      <w:r w:rsidR="00EA78DA" w:rsidRPr="0042150F">
        <w:rPr>
          <w:rFonts w:asciiTheme="majorHAnsi" w:eastAsia="Times New Roman" w:hAnsiTheme="majorHAnsi" w:cstheme="majorHAnsi"/>
          <w:color w:val="0D0D0D" w:themeColor="text1" w:themeTint="F2"/>
          <w:sz w:val="24"/>
          <w:szCs w:val="24"/>
        </w:rPr>
        <w:t>correct</w:t>
      </w:r>
      <w:r w:rsidRPr="009006ED">
        <w:rPr>
          <w:rFonts w:asciiTheme="majorHAnsi" w:eastAsia="Times New Roman" w:hAnsiTheme="majorHAnsi" w:cstheme="majorHAnsi"/>
          <w:color w:val="0D0D0D" w:themeColor="text1" w:themeTint="F2"/>
          <w:sz w:val="24"/>
          <w:szCs w:val="24"/>
        </w:rPr>
        <w:t xml:space="preserve"> the problem and protect the animals</w:t>
      </w:r>
      <w:r w:rsidR="00EA78DA" w:rsidRPr="0042150F">
        <w:rPr>
          <w:rFonts w:asciiTheme="majorHAnsi" w:eastAsia="Times New Roman" w:hAnsiTheme="majorHAnsi" w:cstheme="majorHAnsi"/>
          <w:color w:val="0D0D0D" w:themeColor="text1" w:themeTint="F2"/>
          <w:sz w:val="24"/>
          <w:szCs w:val="24"/>
        </w:rPr>
        <w:t xml:space="preserve"> and or those who take care of the animals</w:t>
      </w:r>
      <w:r w:rsidR="00BC7D77" w:rsidRPr="0042150F">
        <w:rPr>
          <w:rFonts w:asciiTheme="majorHAnsi" w:eastAsia="Times New Roman" w:hAnsiTheme="majorHAnsi" w:cstheme="majorHAnsi"/>
          <w:color w:val="0D0D0D" w:themeColor="text1" w:themeTint="F2"/>
          <w:sz w:val="24"/>
          <w:szCs w:val="24"/>
        </w:rPr>
        <w:t xml:space="preserve"> and will provide preliminary information to the Institutional Official</w:t>
      </w:r>
      <w:r w:rsidRPr="009006ED">
        <w:rPr>
          <w:rFonts w:asciiTheme="majorHAnsi" w:eastAsia="Times New Roman" w:hAnsiTheme="majorHAnsi" w:cstheme="majorHAnsi"/>
          <w:color w:val="0D0D0D" w:themeColor="text1" w:themeTint="F2"/>
          <w:sz w:val="24"/>
          <w:szCs w:val="24"/>
        </w:rPr>
        <w:t xml:space="preserve">. Such ameliorative steps may range from veterinary medical intervention, confiscation of the animals, and/or cessation of </w:t>
      </w:r>
      <w:r w:rsidR="00EA78DA" w:rsidRPr="0042150F">
        <w:rPr>
          <w:rFonts w:asciiTheme="majorHAnsi" w:eastAsia="Times New Roman" w:hAnsiTheme="majorHAnsi" w:cstheme="majorHAnsi"/>
          <w:color w:val="0D0D0D" w:themeColor="text1" w:themeTint="F2"/>
          <w:sz w:val="24"/>
          <w:szCs w:val="24"/>
        </w:rPr>
        <w:t xml:space="preserve">teaching or research </w:t>
      </w:r>
      <w:r w:rsidRPr="009006ED">
        <w:rPr>
          <w:rFonts w:asciiTheme="majorHAnsi" w:eastAsia="Times New Roman" w:hAnsiTheme="majorHAnsi" w:cstheme="majorHAnsi"/>
          <w:color w:val="0D0D0D" w:themeColor="text1" w:themeTint="F2"/>
          <w:sz w:val="24"/>
          <w:szCs w:val="24"/>
        </w:rPr>
        <w:t>activities</w:t>
      </w:r>
      <w:r w:rsidR="00EA78DA" w:rsidRPr="0042150F">
        <w:rPr>
          <w:rFonts w:asciiTheme="majorHAnsi" w:eastAsia="Times New Roman" w:hAnsiTheme="majorHAnsi" w:cstheme="majorHAnsi"/>
          <w:color w:val="0D0D0D" w:themeColor="text1" w:themeTint="F2"/>
          <w:sz w:val="24"/>
          <w:szCs w:val="24"/>
        </w:rPr>
        <w:t xml:space="preserve">. </w:t>
      </w:r>
      <w:r w:rsidRPr="009006ED">
        <w:rPr>
          <w:rFonts w:asciiTheme="majorHAnsi" w:eastAsia="Times New Roman" w:hAnsiTheme="majorHAnsi" w:cstheme="majorHAnsi"/>
          <w:color w:val="0D0D0D" w:themeColor="text1" w:themeTint="F2"/>
          <w:sz w:val="24"/>
          <w:szCs w:val="24"/>
        </w:rPr>
        <w:t>In some cases, involvement by the Institutional Official (IO), legal counsel, and other University officials (e.g., Department Chair</w:t>
      </w:r>
      <w:r w:rsidR="00BC7D77" w:rsidRPr="0042150F">
        <w:rPr>
          <w:rFonts w:asciiTheme="majorHAnsi" w:eastAsia="Times New Roman" w:hAnsiTheme="majorHAnsi" w:cstheme="majorHAnsi"/>
          <w:color w:val="0D0D0D" w:themeColor="text1" w:themeTint="F2"/>
          <w:sz w:val="24"/>
          <w:szCs w:val="24"/>
        </w:rPr>
        <w:t xml:space="preserve"> or College Dean</w:t>
      </w:r>
      <w:r w:rsidRPr="009006ED">
        <w:rPr>
          <w:rFonts w:asciiTheme="majorHAnsi" w:eastAsia="Times New Roman" w:hAnsiTheme="majorHAnsi" w:cstheme="majorHAnsi"/>
          <w:color w:val="0D0D0D" w:themeColor="text1" w:themeTint="F2"/>
          <w:sz w:val="24"/>
          <w:szCs w:val="24"/>
        </w:rPr>
        <w:t>) may be required at the outset of the investigation.</w:t>
      </w:r>
    </w:p>
    <w:p w14:paraId="7084E694" w14:textId="29E8A399" w:rsidR="009006ED" w:rsidRPr="009006ED" w:rsidRDefault="009006ED" w:rsidP="009006ED">
      <w:pPr>
        <w:shd w:val="clear" w:color="auto" w:fill="FFFFFF"/>
        <w:spacing w:after="360" w:line="240" w:lineRule="auto"/>
        <w:rPr>
          <w:rFonts w:asciiTheme="majorHAnsi" w:eastAsia="Times New Roman" w:hAnsiTheme="majorHAnsi" w:cstheme="majorHAnsi"/>
          <w:color w:val="0D0D0D" w:themeColor="text1" w:themeTint="F2"/>
          <w:sz w:val="24"/>
          <w:szCs w:val="24"/>
        </w:rPr>
      </w:pPr>
      <w:r w:rsidRPr="009006ED">
        <w:rPr>
          <w:rFonts w:asciiTheme="majorHAnsi" w:eastAsia="Times New Roman" w:hAnsiTheme="majorHAnsi" w:cstheme="majorHAnsi"/>
          <w:color w:val="0D0D0D" w:themeColor="text1" w:themeTint="F2"/>
          <w:sz w:val="24"/>
          <w:szCs w:val="24"/>
        </w:rPr>
        <w:t>In every investigation, the person(s) against whom the complaint has been raised shall be given notice of the concern and is provided an opportunity to address the allegations in writing</w:t>
      </w:r>
      <w:r w:rsidR="00EA78DA" w:rsidRPr="0042150F">
        <w:rPr>
          <w:rFonts w:asciiTheme="majorHAnsi" w:eastAsia="Times New Roman" w:hAnsiTheme="majorHAnsi" w:cstheme="majorHAnsi"/>
          <w:color w:val="0D0D0D" w:themeColor="text1" w:themeTint="F2"/>
          <w:sz w:val="24"/>
          <w:szCs w:val="24"/>
        </w:rPr>
        <w:t xml:space="preserve"> to the IACUC (Office of Research Compliance</w:t>
      </w:r>
      <w:r w:rsidR="00BC7D77" w:rsidRPr="0042150F">
        <w:rPr>
          <w:rFonts w:asciiTheme="majorHAnsi" w:eastAsia="Times New Roman" w:hAnsiTheme="majorHAnsi" w:cstheme="majorHAnsi"/>
          <w:color w:val="0D0D0D" w:themeColor="text1" w:themeTint="F2"/>
          <w:sz w:val="24"/>
          <w:szCs w:val="24"/>
        </w:rPr>
        <w:t xml:space="preserve"> </w:t>
      </w:r>
      <w:hyperlink r:id="rId7" w:history="1">
        <w:r w:rsidR="00BC7D77" w:rsidRPr="0042150F">
          <w:rPr>
            <w:rStyle w:val="Hyperlink"/>
            <w:rFonts w:asciiTheme="majorHAnsi" w:eastAsia="Times New Roman" w:hAnsiTheme="majorHAnsi" w:cstheme="majorHAnsi"/>
            <w:color w:val="0D0D0D" w:themeColor="text1" w:themeTint="F2"/>
            <w:sz w:val="24"/>
            <w:szCs w:val="24"/>
          </w:rPr>
          <w:t>iacuc-office@cpp.edu</w:t>
        </w:r>
      </w:hyperlink>
      <w:r w:rsidR="00BC7D77" w:rsidRPr="0042150F">
        <w:rPr>
          <w:rFonts w:asciiTheme="majorHAnsi" w:eastAsia="Times New Roman" w:hAnsiTheme="majorHAnsi" w:cstheme="majorHAnsi"/>
          <w:color w:val="0D0D0D" w:themeColor="text1" w:themeTint="F2"/>
          <w:sz w:val="24"/>
          <w:szCs w:val="24"/>
        </w:rPr>
        <w:t xml:space="preserve"> </w:t>
      </w:r>
      <w:r w:rsidR="00EA78DA" w:rsidRPr="0042150F">
        <w:rPr>
          <w:rFonts w:asciiTheme="majorHAnsi" w:eastAsia="Times New Roman" w:hAnsiTheme="majorHAnsi" w:cstheme="majorHAnsi"/>
          <w:color w:val="0D0D0D" w:themeColor="text1" w:themeTint="F2"/>
          <w:sz w:val="24"/>
          <w:szCs w:val="24"/>
        </w:rPr>
        <w:t>)</w:t>
      </w:r>
      <w:r w:rsidRPr="009006ED">
        <w:rPr>
          <w:rFonts w:asciiTheme="majorHAnsi" w:eastAsia="Times New Roman" w:hAnsiTheme="majorHAnsi" w:cstheme="majorHAnsi"/>
          <w:color w:val="0D0D0D" w:themeColor="text1" w:themeTint="F2"/>
          <w:sz w:val="24"/>
          <w:szCs w:val="24"/>
        </w:rPr>
        <w:t>. In addition, if the identity of the reporting party is known, an acknowledgment of receipt shall be given, with an assurance that an investigation is underway.</w:t>
      </w:r>
    </w:p>
    <w:p w14:paraId="5E8CD156" w14:textId="41E47ACC" w:rsidR="00BC7D77" w:rsidRPr="005E26CF" w:rsidRDefault="005E26CF" w:rsidP="005E26CF">
      <w:pPr>
        <w:rPr>
          <w:rFonts w:asciiTheme="majorHAnsi" w:hAnsiTheme="majorHAnsi" w:cstheme="majorHAnsi"/>
          <w:sz w:val="24"/>
          <w:szCs w:val="24"/>
        </w:rPr>
      </w:pPr>
      <w:r w:rsidRPr="005E26CF">
        <w:rPr>
          <w:rFonts w:asciiTheme="majorHAnsi" w:hAnsiTheme="majorHAnsi" w:cstheme="majorHAnsi"/>
          <w:sz w:val="24"/>
          <w:szCs w:val="24"/>
        </w:rPr>
        <w:t xml:space="preserve">All concerns should be initially brought up to the </w:t>
      </w:r>
      <w:proofErr w:type="gramStart"/>
      <w:r w:rsidRPr="005E26CF">
        <w:rPr>
          <w:rFonts w:asciiTheme="majorHAnsi" w:hAnsiTheme="majorHAnsi" w:cstheme="majorHAnsi"/>
          <w:sz w:val="24"/>
          <w:szCs w:val="24"/>
        </w:rPr>
        <w:t>committee as a whole</w:t>
      </w:r>
      <w:proofErr w:type="gramEnd"/>
      <w:r w:rsidRPr="005E26CF">
        <w:rPr>
          <w:rFonts w:asciiTheme="majorHAnsi" w:hAnsiTheme="majorHAnsi" w:cstheme="majorHAnsi"/>
          <w:sz w:val="24"/>
          <w:szCs w:val="24"/>
        </w:rPr>
        <w:t xml:space="preserve">. Then, the committee together can decide if they want to appoint a subcommittee to investigate this further. </w:t>
      </w:r>
    </w:p>
    <w:p w14:paraId="358EA6B0" w14:textId="5B47BB3B" w:rsidR="009006ED" w:rsidRPr="0042150F" w:rsidRDefault="009006ED" w:rsidP="009006ED">
      <w:pPr>
        <w:shd w:val="clear" w:color="auto" w:fill="FFFFFF"/>
        <w:spacing w:after="0" w:line="240" w:lineRule="auto"/>
        <w:rPr>
          <w:rFonts w:asciiTheme="majorHAnsi" w:eastAsia="Times New Roman" w:hAnsiTheme="majorHAnsi" w:cstheme="majorHAnsi"/>
          <w:color w:val="0D0D0D" w:themeColor="text1" w:themeTint="F2"/>
          <w:sz w:val="24"/>
          <w:szCs w:val="24"/>
        </w:rPr>
      </w:pPr>
      <w:r w:rsidRPr="009006ED">
        <w:rPr>
          <w:rFonts w:asciiTheme="majorHAnsi" w:eastAsia="Times New Roman" w:hAnsiTheme="majorHAnsi" w:cstheme="majorHAnsi"/>
          <w:color w:val="0D0D0D" w:themeColor="text1" w:themeTint="F2"/>
          <w:sz w:val="24"/>
          <w:szCs w:val="24"/>
        </w:rPr>
        <w:t>As much information as is reasonably needed will be collected, which may entail review of documents, inspection of the facilities, and/or discussions with pertinent individuals.</w:t>
      </w:r>
    </w:p>
    <w:p w14:paraId="69E69FAC" w14:textId="77777777" w:rsidR="00BC7D77" w:rsidRPr="009006ED" w:rsidRDefault="00BC7D77" w:rsidP="009006ED">
      <w:pPr>
        <w:shd w:val="clear" w:color="auto" w:fill="FFFFFF"/>
        <w:spacing w:after="0" w:line="240" w:lineRule="auto"/>
        <w:rPr>
          <w:rFonts w:asciiTheme="majorHAnsi" w:eastAsia="Times New Roman" w:hAnsiTheme="majorHAnsi" w:cstheme="majorHAnsi"/>
          <w:color w:val="0D0D0D" w:themeColor="text1" w:themeTint="F2"/>
          <w:sz w:val="24"/>
          <w:szCs w:val="24"/>
        </w:rPr>
      </w:pPr>
    </w:p>
    <w:p w14:paraId="3C9D8F92" w14:textId="19498DD9" w:rsidR="009006ED" w:rsidRPr="009006ED" w:rsidRDefault="00BC7D77" w:rsidP="009006ED">
      <w:pPr>
        <w:spacing w:after="192" w:line="240" w:lineRule="auto"/>
        <w:outlineLvl w:val="1"/>
        <w:rPr>
          <w:rFonts w:asciiTheme="majorHAnsi" w:eastAsia="Times New Roman" w:hAnsiTheme="majorHAnsi" w:cstheme="majorHAnsi"/>
          <w:b/>
          <w:bCs/>
          <w:color w:val="0D0D0D" w:themeColor="text1" w:themeTint="F2"/>
          <w:sz w:val="32"/>
          <w:szCs w:val="32"/>
        </w:rPr>
      </w:pPr>
      <w:r w:rsidRPr="0042150F">
        <w:rPr>
          <w:rFonts w:asciiTheme="majorHAnsi" w:eastAsia="Times New Roman" w:hAnsiTheme="majorHAnsi" w:cstheme="majorHAnsi"/>
          <w:b/>
          <w:bCs/>
          <w:color w:val="0D0D0D" w:themeColor="text1" w:themeTint="F2"/>
          <w:sz w:val="32"/>
          <w:szCs w:val="32"/>
        </w:rPr>
        <w:t>IACUC</w:t>
      </w:r>
      <w:r w:rsidR="009006ED" w:rsidRPr="009006ED">
        <w:rPr>
          <w:rFonts w:asciiTheme="majorHAnsi" w:eastAsia="Times New Roman" w:hAnsiTheme="majorHAnsi" w:cstheme="majorHAnsi"/>
          <w:b/>
          <w:bCs/>
          <w:color w:val="0D0D0D" w:themeColor="text1" w:themeTint="F2"/>
          <w:sz w:val="32"/>
          <w:szCs w:val="32"/>
        </w:rPr>
        <w:t xml:space="preserve"> Evaluation</w:t>
      </w:r>
    </w:p>
    <w:p w14:paraId="17BC85B9" w14:textId="33642265" w:rsidR="00BC7D77" w:rsidRPr="0042150F" w:rsidRDefault="009006ED" w:rsidP="009006ED">
      <w:pPr>
        <w:spacing w:after="0" w:line="240" w:lineRule="auto"/>
        <w:rPr>
          <w:rFonts w:asciiTheme="majorHAnsi" w:eastAsia="Times New Roman" w:hAnsiTheme="majorHAnsi" w:cstheme="majorHAnsi"/>
          <w:color w:val="0D0D0D" w:themeColor="text1" w:themeTint="F2"/>
          <w:sz w:val="24"/>
          <w:szCs w:val="24"/>
        </w:rPr>
      </w:pPr>
      <w:r w:rsidRPr="009006ED">
        <w:rPr>
          <w:rFonts w:asciiTheme="majorHAnsi" w:eastAsia="Times New Roman" w:hAnsiTheme="majorHAnsi" w:cstheme="majorHAnsi"/>
          <w:color w:val="0D0D0D" w:themeColor="text1" w:themeTint="F2"/>
          <w:sz w:val="24"/>
          <w:szCs w:val="24"/>
        </w:rPr>
        <w:t>Results of the initial evaluation, including all supporting documentation, will be provided to the Committee for consideration at a convened meeting</w:t>
      </w:r>
      <w:r w:rsidR="00BC7D77" w:rsidRPr="0042150F">
        <w:rPr>
          <w:rFonts w:asciiTheme="majorHAnsi" w:eastAsia="Times New Roman" w:hAnsiTheme="majorHAnsi" w:cstheme="majorHAnsi"/>
          <w:color w:val="0D0D0D" w:themeColor="text1" w:themeTint="F2"/>
          <w:sz w:val="24"/>
          <w:szCs w:val="24"/>
        </w:rPr>
        <w:t xml:space="preserve"> (physical or virtual)</w:t>
      </w:r>
      <w:r w:rsidRPr="009006ED">
        <w:rPr>
          <w:rFonts w:asciiTheme="majorHAnsi" w:eastAsia="Times New Roman" w:hAnsiTheme="majorHAnsi" w:cstheme="majorHAnsi"/>
          <w:color w:val="0D0D0D" w:themeColor="text1" w:themeTint="F2"/>
          <w:sz w:val="24"/>
          <w:szCs w:val="24"/>
        </w:rPr>
        <w:t>.</w:t>
      </w:r>
    </w:p>
    <w:p w14:paraId="36526170" w14:textId="77777777" w:rsidR="00BC7D77" w:rsidRPr="0042150F" w:rsidRDefault="00BC7D77" w:rsidP="009006ED">
      <w:pPr>
        <w:spacing w:after="0" w:line="240" w:lineRule="auto"/>
        <w:rPr>
          <w:rFonts w:asciiTheme="majorHAnsi" w:eastAsia="Times New Roman" w:hAnsiTheme="majorHAnsi" w:cstheme="majorHAnsi"/>
          <w:color w:val="0D0D0D" w:themeColor="text1" w:themeTint="F2"/>
          <w:sz w:val="24"/>
          <w:szCs w:val="24"/>
        </w:rPr>
      </w:pPr>
    </w:p>
    <w:p w14:paraId="6A700E7C" w14:textId="77777777" w:rsidR="00BC7D77" w:rsidRPr="0042150F" w:rsidRDefault="00BC7D77" w:rsidP="009006ED">
      <w:pPr>
        <w:spacing w:after="0" w:line="240" w:lineRule="auto"/>
        <w:rPr>
          <w:rFonts w:asciiTheme="majorHAnsi" w:eastAsia="Times New Roman" w:hAnsiTheme="majorHAnsi" w:cstheme="majorHAnsi"/>
          <w:color w:val="0D0D0D" w:themeColor="text1" w:themeTint="F2"/>
          <w:sz w:val="24"/>
          <w:szCs w:val="24"/>
        </w:rPr>
      </w:pPr>
    </w:p>
    <w:p w14:paraId="736FE68F" w14:textId="198E53A2" w:rsidR="00BC7D77" w:rsidRPr="0042150F" w:rsidRDefault="009006ED" w:rsidP="009006ED">
      <w:pPr>
        <w:spacing w:after="0" w:line="240" w:lineRule="auto"/>
        <w:rPr>
          <w:rFonts w:asciiTheme="majorHAnsi" w:eastAsia="Times New Roman" w:hAnsiTheme="majorHAnsi" w:cstheme="majorHAnsi"/>
          <w:color w:val="0D0D0D" w:themeColor="text1" w:themeTint="F2"/>
          <w:sz w:val="24"/>
          <w:szCs w:val="24"/>
          <w:u w:val="single"/>
        </w:rPr>
      </w:pPr>
      <w:r w:rsidRPr="009006ED">
        <w:rPr>
          <w:rFonts w:asciiTheme="majorHAnsi" w:eastAsia="Times New Roman" w:hAnsiTheme="majorHAnsi" w:cstheme="majorHAnsi"/>
          <w:color w:val="0D0D0D" w:themeColor="text1" w:themeTint="F2"/>
          <w:sz w:val="24"/>
          <w:szCs w:val="24"/>
          <w:u w:val="single"/>
        </w:rPr>
        <w:t xml:space="preserve">Based on the information, the </w:t>
      </w:r>
      <w:r w:rsidR="00BC7D77" w:rsidRPr="0042150F">
        <w:rPr>
          <w:rFonts w:asciiTheme="majorHAnsi" w:eastAsia="Times New Roman" w:hAnsiTheme="majorHAnsi" w:cstheme="majorHAnsi"/>
          <w:color w:val="0D0D0D" w:themeColor="text1" w:themeTint="F2"/>
          <w:sz w:val="24"/>
          <w:szCs w:val="24"/>
          <w:u w:val="single"/>
        </w:rPr>
        <w:t>IACUC</w:t>
      </w:r>
      <w:r w:rsidRPr="009006ED">
        <w:rPr>
          <w:rFonts w:asciiTheme="majorHAnsi" w:eastAsia="Times New Roman" w:hAnsiTheme="majorHAnsi" w:cstheme="majorHAnsi"/>
          <w:color w:val="0D0D0D" w:themeColor="text1" w:themeTint="F2"/>
          <w:sz w:val="24"/>
          <w:szCs w:val="24"/>
          <w:u w:val="single"/>
        </w:rPr>
        <w:t xml:space="preserve"> will determine</w:t>
      </w:r>
      <w:r w:rsidR="00BC7D77" w:rsidRPr="0042150F">
        <w:rPr>
          <w:rFonts w:asciiTheme="majorHAnsi" w:eastAsia="Times New Roman" w:hAnsiTheme="majorHAnsi" w:cstheme="majorHAnsi"/>
          <w:color w:val="0D0D0D" w:themeColor="text1" w:themeTint="F2"/>
          <w:sz w:val="24"/>
          <w:szCs w:val="24"/>
          <w:u w:val="single"/>
        </w:rPr>
        <w:t>:</w:t>
      </w:r>
    </w:p>
    <w:p w14:paraId="042B3842" w14:textId="77777777" w:rsidR="00BC7D77" w:rsidRPr="0042150F" w:rsidRDefault="00BC7D77" w:rsidP="009006ED">
      <w:pPr>
        <w:spacing w:after="0" w:line="240" w:lineRule="auto"/>
        <w:rPr>
          <w:rFonts w:asciiTheme="majorHAnsi" w:eastAsia="Times New Roman" w:hAnsiTheme="majorHAnsi" w:cstheme="majorHAnsi"/>
          <w:color w:val="0D0D0D" w:themeColor="text1" w:themeTint="F2"/>
          <w:sz w:val="24"/>
          <w:szCs w:val="24"/>
        </w:rPr>
      </w:pPr>
    </w:p>
    <w:p w14:paraId="76826049" w14:textId="7D77925B" w:rsidR="00BC7D77" w:rsidRPr="0042150F" w:rsidRDefault="00BC7D77" w:rsidP="00BC7D77">
      <w:pPr>
        <w:pStyle w:val="ListParagraph"/>
        <w:numPr>
          <w:ilvl w:val="0"/>
          <w:numId w:val="2"/>
        </w:numPr>
        <w:spacing w:after="0" w:line="240" w:lineRule="auto"/>
        <w:rPr>
          <w:rFonts w:asciiTheme="majorHAnsi" w:eastAsia="Times New Roman" w:hAnsiTheme="majorHAnsi" w:cstheme="majorHAnsi"/>
          <w:color w:val="0D0D0D" w:themeColor="text1" w:themeTint="F2"/>
          <w:sz w:val="24"/>
          <w:szCs w:val="24"/>
        </w:rPr>
      </w:pPr>
      <w:r w:rsidRPr="0042150F">
        <w:rPr>
          <w:rFonts w:asciiTheme="majorHAnsi" w:eastAsia="Times New Roman" w:hAnsiTheme="majorHAnsi" w:cstheme="majorHAnsi"/>
          <w:color w:val="0D0D0D" w:themeColor="text1" w:themeTint="F2"/>
          <w:sz w:val="24"/>
          <w:szCs w:val="24"/>
        </w:rPr>
        <w:t>T</w:t>
      </w:r>
      <w:r w:rsidR="009006ED" w:rsidRPr="0042150F">
        <w:rPr>
          <w:rFonts w:asciiTheme="majorHAnsi" w:eastAsia="Times New Roman" w:hAnsiTheme="majorHAnsi" w:cstheme="majorHAnsi"/>
          <w:color w:val="0D0D0D" w:themeColor="text1" w:themeTint="F2"/>
          <w:sz w:val="24"/>
          <w:szCs w:val="24"/>
        </w:rPr>
        <w:t>he nature of the concern as it relates to the USDA Animal Welfare Act and Regulations (AWAR), Public Health Service (PHS) Policy on Humane Care and Use of Laboratory Animals (PHS Policy), and University policy</w:t>
      </w:r>
    </w:p>
    <w:p w14:paraId="62B4416B" w14:textId="611DFA1E" w:rsidR="00BC7D77" w:rsidRPr="0042150F" w:rsidRDefault="00BC7D77" w:rsidP="009006ED">
      <w:pPr>
        <w:pStyle w:val="ListParagraph"/>
        <w:numPr>
          <w:ilvl w:val="0"/>
          <w:numId w:val="2"/>
        </w:numPr>
        <w:spacing w:after="0" w:line="240" w:lineRule="auto"/>
        <w:rPr>
          <w:rFonts w:asciiTheme="majorHAnsi" w:eastAsia="Times New Roman" w:hAnsiTheme="majorHAnsi" w:cstheme="majorHAnsi"/>
          <w:color w:val="0D0D0D" w:themeColor="text1" w:themeTint="F2"/>
          <w:sz w:val="24"/>
          <w:szCs w:val="24"/>
        </w:rPr>
      </w:pPr>
      <w:r w:rsidRPr="0042150F">
        <w:rPr>
          <w:rFonts w:asciiTheme="majorHAnsi" w:eastAsia="Times New Roman" w:hAnsiTheme="majorHAnsi" w:cstheme="majorHAnsi"/>
          <w:color w:val="0D0D0D" w:themeColor="text1" w:themeTint="F2"/>
          <w:sz w:val="24"/>
          <w:szCs w:val="24"/>
        </w:rPr>
        <w:t>T</w:t>
      </w:r>
      <w:r w:rsidR="009006ED" w:rsidRPr="0042150F">
        <w:rPr>
          <w:rFonts w:asciiTheme="majorHAnsi" w:eastAsia="Times New Roman" w:hAnsiTheme="majorHAnsi" w:cstheme="majorHAnsi"/>
          <w:color w:val="0D0D0D" w:themeColor="text1" w:themeTint="F2"/>
          <w:sz w:val="24"/>
          <w:szCs w:val="24"/>
        </w:rPr>
        <w:t>he need for additional actions, such as further investigation or notification of other University officials as appropriate; and</w:t>
      </w:r>
    </w:p>
    <w:p w14:paraId="0399A185" w14:textId="6ED1C19A" w:rsidR="009006ED" w:rsidRPr="0042150F" w:rsidRDefault="00BC7D77" w:rsidP="009006ED">
      <w:pPr>
        <w:pStyle w:val="ListParagraph"/>
        <w:numPr>
          <w:ilvl w:val="0"/>
          <w:numId w:val="2"/>
        </w:numPr>
        <w:spacing w:after="0" w:line="240" w:lineRule="auto"/>
        <w:rPr>
          <w:rFonts w:asciiTheme="majorHAnsi" w:eastAsia="Times New Roman" w:hAnsiTheme="majorHAnsi" w:cstheme="majorHAnsi"/>
          <w:color w:val="0D0D0D" w:themeColor="text1" w:themeTint="F2"/>
          <w:sz w:val="24"/>
          <w:szCs w:val="24"/>
        </w:rPr>
      </w:pPr>
      <w:r w:rsidRPr="0042150F">
        <w:rPr>
          <w:rFonts w:asciiTheme="majorHAnsi" w:eastAsia="Times New Roman" w:hAnsiTheme="majorHAnsi" w:cstheme="majorHAnsi"/>
          <w:color w:val="0D0D0D" w:themeColor="text1" w:themeTint="F2"/>
          <w:sz w:val="24"/>
          <w:szCs w:val="24"/>
        </w:rPr>
        <w:t>C</w:t>
      </w:r>
      <w:r w:rsidR="009006ED" w:rsidRPr="0042150F">
        <w:rPr>
          <w:rFonts w:asciiTheme="majorHAnsi" w:eastAsia="Times New Roman" w:hAnsiTheme="majorHAnsi" w:cstheme="majorHAnsi"/>
          <w:color w:val="0D0D0D" w:themeColor="text1" w:themeTint="F2"/>
          <w:sz w:val="24"/>
          <w:szCs w:val="24"/>
        </w:rPr>
        <w:t xml:space="preserve">orrective measures to address the concern and prevent recurrence. In all cases, the person(s) against whom the allegations have been directed will be notified of the </w:t>
      </w:r>
      <w:r w:rsidRPr="0042150F">
        <w:rPr>
          <w:rFonts w:asciiTheme="majorHAnsi" w:eastAsia="Times New Roman" w:hAnsiTheme="majorHAnsi" w:cstheme="majorHAnsi"/>
          <w:color w:val="0D0D0D" w:themeColor="text1" w:themeTint="F2"/>
          <w:sz w:val="24"/>
          <w:szCs w:val="24"/>
        </w:rPr>
        <w:t>IACUC</w:t>
      </w:r>
      <w:r w:rsidR="009006ED" w:rsidRPr="0042150F">
        <w:rPr>
          <w:rFonts w:asciiTheme="majorHAnsi" w:eastAsia="Times New Roman" w:hAnsiTheme="majorHAnsi" w:cstheme="majorHAnsi"/>
          <w:color w:val="0D0D0D" w:themeColor="text1" w:themeTint="F2"/>
          <w:sz w:val="24"/>
          <w:szCs w:val="24"/>
        </w:rPr>
        <w:t>'s decisions in writing.</w:t>
      </w:r>
    </w:p>
    <w:p w14:paraId="03931FA4" w14:textId="77777777" w:rsidR="00BC7D77" w:rsidRPr="009006ED" w:rsidRDefault="00BC7D77" w:rsidP="009006ED">
      <w:pPr>
        <w:spacing w:after="0" w:line="240" w:lineRule="auto"/>
        <w:rPr>
          <w:rFonts w:asciiTheme="majorHAnsi" w:eastAsia="Times New Roman" w:hAnsiTheme="majorHAnsi" w:cstheme="majorHAnsi"/>
          <w:color w:val="0D0D0D" w:themeColor="text1" w:themeTint="F2"/>
          <w:sz w:val="24"/>
          <w:szCs w:val="24"/>
        </w:rPr>
      </w:pPr>
    </w:p>
    <w:p w14:paraId="37D617C0" w14:textId="0FD4C525" w:rsidR="009006ED" w:rsidRPr="009006ED" w:rsidRDefault="009006ED" w:rsidP="009006ED">
      <w:pPr>
        <w:shd w:val="clear" w:color="auto" w:fill="FFFFFF"/>
        <w:spacing w:after="192" w:line="240" w:lineRule="auto"/>
        <w:outlineLvl w:val="1"/>
        <w:rPr>
          <w:rFonts w:asciiTheme="majorHAnsi" w:eastAsia="Times New Roman" w:hAnsiTheme="majorHAnsi" w:cstheme="majorHAnsi"/>
          <w:b/>
          <w:bCs/>
          <w:color w:val="0D0D0D" w:themeColor="text1" w:themeTint="F2"/>
          <w:sz w:val="32"/>
          <w:szCs w:val="32"/>
        </w:rPr>
      </w:pPr>
      <w:r w:rsidRPr="009006ED">
        <w:rPr>
          <w:rFonts w:asciiTheme="majorHAnsi" w:eastAsia="Times New Roman" w:hAnsiTheme="majorHAnsi" w:cstheme="majorHAnsi"/>
          <w:b/>
          <w:bCs/>
          <w:color w:val="0D0D0D" w:themeColor="text1" w:themeTint="F2"/>
          <w:sz w:val="32"/>
          <w:szCs w:val="32"/>
        </w:rPr>
        <w:t xml:space="preserve">Institutional </w:t>
      </w:r>
      <w:r w:rsidR="00356382" w:rsidRPr="0042150F">
        <w:rPr>
          <w:rFonts w:asciiTheme="majorHAnsi" w:eastAsia="Times New Roman" w:hAnsiTheme="majorHAnsi" w:cstheme="majorHAnsi"/>
          <w:b/>
          <w:bCs/>
          <w:color w:val="0D0D0D" w:themeColor="text1" w:themeTint="F2"/>
          <w:sz w:val="32"/>
          <w:szCs w:val="32"/>
        </w:rPr>
        <w:t>Actions</w:t>
      </w:r>
    </w:p>
    <w:p w14:paraId="2255960B" w14:textId="77777777" w:rsidR="00895C3B" w:rsidRPr="0042150F" w:rsidRDefault="009006ED" w:rsidP="009006ED">
      <w:pPr>
        <w:shd w:val="clear" w:color="auto" w:fill="FFFFFF"/>
        <w:spacing w:after="360" w:line="240" w:lineRule="auto"/>
        <w:rPr>
          <w:rFonts w:asciiTheme="majorHAnsi" w:eastAsia="Times New Roman" w:hAnsiTheme="majorHAnsi" w:cstheme="majorHAnsi"/>
          <w:color w:val="0D0D0D" w:themeColor="text1" w:themeTint="F2"/>
          <w:sz w:val="24"/>
          <w:szCs w:val="24"/>
        </w:rPr>
      </w:pPr>
      <w:r w:rsidRPr="009006ED">
        <w:rPr>
          <w:rFonts w:asciiTheme="majorHAnsi" w:eastAsia="Times New Roman" w:hAnsiTheme="majorHAnsi" w:cstheme="majorHAnsi"/>
          <w:color w:val="0D0D0D" w:themeColor="text1" w:themeTint="F2"/>
          <w:sz w:val="24"/>
          <w:szCs w:val="24"/>
        </w:rPr>
        <w:t xml:space="preserve">Institutional responses are influenced by legal requirements, institutional policy, and the nature of the investigative findings. If the violation is verified by the </w:t>
      </w:r>
      <w:r w:rsidR="00BC7D77" w:rsidRPr="0042150F">
        <w:rPr>
          <w:rFonts w:asciiTheme="majorHAnsi" w:eastAsia="Times New Roman" w:hAnsiTheme="majorHAnsi" w:cstheme="majorHAnsi"/>
          <w:color w:val="0D0D0D" w:themeColor="text1" w:themeTint="F2"/>
          <w:sz w:val="24"/>
          <w:szCs w:val="24"/>
        </w:rPr>
        <w:t>IACUC</w:t>
      </w:r>
      <w:r w:rsidRPr="009006ED">
        <w:rPr>
          <w:rFonts w:asciiTheme="majorHAnsi" w:eastAsia="Times New Roman" w:hAnsiTheme="majorHAnsi" w:cstheme="majorHAnsi"/>
          <w:color w:val="0D0D0D" w:themeColor="text1" w:themeTint="F2"/>
          <w:sz w:val="24"/>
          <w:szCs w:val="24"/>
        </w:rPr>
        <w:t xml:space="preserve">, the </w:t>
      </w:r>
      <w:r w:rsidR="00BC7D77" w:rsidRPr="0042150F">
        <w:rPr>
          <w:rFonts w:asciiTheme="majorHAnsi" w:eastAsia="Times New Roman" w:hAnsiTheme="majorHAnsi" w:cstheme="majorHAnsi"/>
          <w:color w:val="0D0D0D" w:themeColor="text1" w:themeTint="F2"/>
          <w:sz w:val="24"/>
          <w:szCs w:val="24"/>
        </w:rPr>
        <w:t>IACUC</w:t>
      </w:r>
      <w:r w:rsidRPr="009006ED">
        <w:rPr>
          <w:rFonts w:asciiTheme="majorHAnsi" w:eastAsia="Times New Roman" w:hAnsiTheme="majorHAnsi" w:cstheme="majorHAnsi"/>
          <w:color w:val="0D0D0D" w:themeColor="text1" w:themeTint="F2"/>
          <w:sz w:val="24"/>
          <w:szCs w:val="24"/>
        </w:rPr>
        <w:t xml:space="preserve"> is authorized under the USDA AWAR and PHS Policy to suspend a previously approved activity. If the </w:t>
      </w:r>
      <w:r w:rsidR="00BC7D77" w:rsidRPr="0042150F">
        <w:rPr>
          <w:rFonts w:asciiTheme="majorHAnsi" w:eastAsia="Times New Roman" w:hAnsiTheme="majorHAnsi" w:cstheme="majorHAnsi"/>
          <w:color w:val="0D0D0D" w:themeColor="text1" w:themeTint="F2"/>
          <w:sz w:val="24"/>
          <w:szCs w:val="24"/>
        </w:rPr>
        <w:t>IACUC</w:t>
      </w:r>
      <w:r w:rsidRPr="009006ED">
        <w:rPr>
          <w:rFonts w:asciiTheme="majorHAnsi" w:eastAsia="Times New Roman" w:hAnsiTheme="majorHAnsi" w:cstheme="majorHAnsi"/>
          <w:color w:val="0D0D0D" w:themeColor="text1" w:themeTint="F2"/>
          <w:sz w:val="24"/>
          <w:szCs w:val="24"/>
        </w:rPr>
        <w:t xml:space="preserve"> suspends an activity involving animals, the IO, in consultation with the </w:t>
      </w:r>
      <w:r w:rsidR="00895C3B" w:rsidRPr="0042150F">
        <w:rPr>
          <w:rFonts w:asciiTheme="majorHAnsi" w:eastAsia="Times New Roman" w:hAnsiTheme="majorHAnsi" w:cstheme="majorHAnsi"/>
          <w:color w:val="0D0D0D" w:themeColor="text1" w:themeTint="F2"/>
          <w:sz w:val="24"/>
          <w:szCs w:val="24"/>
        </w:rPr>
        <w:t>IACUC</w:t>
      </w:r>
      <w:r w:rsidRPr="009006ED">
        <w:rPr>
          <w:rFonts w:asciiTheme="majorHAnsi" w:eastAsia="Times New Roman" w:hAnsiTheme="majorHAnsi" w:cstheme="majorHAnsi"/>
          <w:color w:val="0D0D0D" w:themeColor="text1" w:themeTint="F2"/>
          <w:sz w:val="24"/>
          <w:szCs w:val="24"/>
        </w:rPr>
        <w:t>, shall review the reasons for suspension and take appropriate corrective action. If the suspension involves PHS-funded activities, a report containing a full explanation of the actions taken will be submitted to the National Institutes of Health (NIH), Office of Laboratory Animal Welfare (OLAW).</w:t>
      </w:r>
    </w:p>
    <w:p w14:paraId="2B59EF93" w14:textId="7F685C69" w:rsidR="009006ED" w:rsidRPr="009006ED" w:rsidRDefault="009006ED" w:rsidP="009006ED">
      <w:pPr>
        <w:shd w:val="clear" w:color="auto" w:fill="FFFFFF"/>
        <w:spacing w:after="360" w:line="240" w:lineRule="auto"/>
        <w:rPr>
          <w:rFonts w:asciiTheme="majorHAnsi" w:eastAsia="Times New Roman" w:hAnsiTheme="majorHAnsi" w:cstheme="majorHAnsi"/>
          <w:color w:val="0D0D0D" w:themeColor="text1" w:themeTint="F2"/>
          <w:sz w:val="24"/>
          <w:szCs w:val="24"/>
        </w:rPr>
      </w:pPr>
      <w:r w:rsidRPr="009006ED">
        <w:rPr>
          <w:rFonts w:asciiTheme="majorHAnsi" w:eastAsia="Times New Roman" w:hAnsiTheme="majorHAnsi" w:cstheme="majorHAnsi"/>
          <w:color w:val="0D0D0D" w:themeColor="text1" w:themeTint="F2"/>
          <w:sz w:val="24"/>
          <w:szCs w:val="24"/>
        </w:rPr>
        <w:t xml:space="preserve"> For suspensions involving USDA-regulated species, a report will be submitted to the USDA and any federal agency funding the activity. Reinstatement of an activity may only be authorized by the </w:t>
      </w:r>
      <w:r w:rsidR="00895C3B" w:rsidRPr="0042150F">
        <w:rPr>
          <w:rFonts w:asciiTheme="majorHAnsi" w:eastAsia="Times New Roman" w:hAnsiTheme="majorHAnsi" w:cstheme="majorHAnsi"/>
          <w:color w:val="0D0D0D" w:themeColor="text1" w:themeTint="F2"/>
          <w:sz w:val="24"/>
          <w:szCs w:val="24"/>
        </w:rPr>
        <w:t>IACUC</w:t>
      </w:r>
      <w:r w:rsidRPr="009006ED">
        <w:rPr>
          <w:rFonts w:asciiTheme="majorHAnsi" w:eastAsia="Times New Roman" w:hAnsiTheme="majorHAnsi" w:cstheme="majorHAnsi"/>
          <w:color w:val="0D0D0D" w:themeColor="text1" w:themeTint="F2"/>
          <w:sz w:val="24"/>
          <w:szCs w:val="24"/>
        </w:rPr>
        <w:t xml:space="preserve"> and shall be made in writing to the investigator.</w:t>
      </w:r>
    </w:p>
    <w:p w14:paraId="18BA2DA4" w14:textId="493AFADD" w:rsidR="00895C3B" w:rsidRPr="00895C3B" w:rsidRDefault="00895C3B" w:rsidP="00895C3B">
      <w:pPr>
        <w:spacing w:before="100" w:beforeAutospacing="1" w:after="100" w:afterAutospacing="1" w:line="240" w:lineRule="auto"/>
        <w:rPr>
          <w:rFonts w:asciiTheme="majorHAnsi" w:eastAsia="Times New Roman" w:hAnsiTheme="majorHAnsi" w:cstheme="majorHAnsi"/>
          <w:color w:val="0D0D0D" w:themeColor="text1" w:themeTint="F2"/>
          <w:sz w:val="24"/>
          <w:szCs w:val="24"/>
          <w:u w:val="single"/>
        </w:rPr>
      </w:pPr>
      <w:r w:rsidRPr="00895C3B">
        <w:rPr>
          <w:rFonts w:asciiTheme="majorHAnsi" w:eastAsia="Times New Roman" w:hAnsiTheme="majorHAnsi" w:cstheme="majorHAnsi"/>
          <w:color w:val="0D0D0D" w:themeColor="text1" w:themeTint="F2"/>
          <w:sz w:val="24"/>
          <w:szCs w:val="24"/>
          <w:u w:val="single"/>
        </w:rPr>
        <w:t xml:space="preserve">Examples </w:t>
      </w:r>
      <w:r w:rsidR="00C87BE7" w:rsidRPr="0042150F">
        <w:rPr>
          <w:rFonts w:asciiTheme="majorHAnsi" w:eastAsia="Times New Roman" w:hAnsiTheme="majorHAnsi" w:cstheme="majorHAnsi"/>
          <w:color w:val="0D0D0D" w:themeColor="text1" w:themeTint="F2"/>
          <w:sz w:val="24"/>
          <w:szCs w:val="24"/>
          <w:u w:val="single"/>
        </w:rPr>
        <w:t>serious noncompliance and/or</w:t>
      </w:r>
      <w:r w:rsidRPr="00895C3B">
        <w:rPr>
          <w:rFonts w:asciiTheme="majorHAnsi" w:eastAsia="Times New Roman" w:hAnsiTheme="majorHAnsi" w:cstheme="majorHAnsi"/>
          <w:color w:val="0D0D0D" w:themeColor="text1" w:themeTint="F2"/>
          <w:sz w:val="24"/>
          <w:szCs w:val="24"/>
          <w:u w:val="single"/>
        </w:rPr>
        <w:t xml:space="preserve"> reportable situations:</w:t>
      </w:r>
    </w:p>
    <w:p w14:paraId="3975B243" w14:textId="6202EDDB" w:rsidR="00895C3B" w:rsidRPr="00895C3B" w:rsidRDefault="00895C3B" w:rsidP="00895C3B">
      <w:pPr>
        <w:numPr>
          <w:ilvl w:val="0"/>
          <w:numId w:val="3"/>
        </w:numPr>
        <w:spacing w:before="100" w:beforeAutospacing="1" w:after="100" w:afterAutospacing="1" w:line="240" w:lineRule="auto"/>
        <w:rPr>
          <w:rFonts w:asciiTheme="majorHAnsi" w:eastAsia="Times New Roman" w:hAnsiTheme="majorHAnsi" w:cstheme="majorHAnsi"/>
          <w:color w:val="0D0D0D" w:themeColor="text1" w:themeTint="F2"/>
          <w:sz w:val="24"/>
          <w:szCs w:val="24"/>
        </w:rPr>
      </w:pPr>
      <w:r w:rsidRPr="0042150F">
        <w:rPr>
          <w:rFonts w:asciiTheme="majorHAnsi" w:eastAsia="Times New Roman" w:hAnsiTheme="majorHAnsi" w:cstheme="majorHAnsi"/>
          <w:color w:val="0D0D0D" w:themeColor="text1" w:themeTint="F2"/>
          <w:sz w:val="24"/>
          <w:szCs w:val="24"/>
        </w:rPr>
        <w:t>C</w:t>
      </w:r>
      <w:r w:rsidRPr="00895C3B">
        <w:rPr>
          <w:rFonts w:asciiTheme="majorHAnsi" w:eastAsia="Times New Roman" w:hAnsiTheme="majorHAnsi" w:cstheme="majorHAnsi"/>
          <w:color w:val="0D0D0D" w:themeColor="text1" w:themeTint="F2"/>
          <w:sz w:val="24"/>
          <w:szCs w:val="24"/>
        </w:rPr>
        <w:t>onditions that jeopardize the health or well-being of animals, including natural disasters, accidents, and mechanical failures, resulting in actual harm or death to animals</w:t>
      </w:r>
    </w:p>
    <w:p w14:paraId="73448B54" w14:textId="50D04C10" w:rsidR="00895C3B" w:rsidRPr="00895C3B" w:rsidRDefault="00895C3B" w:rsidP="00895C3B">
      <w:pPr>
        <w:numPr>
          <w:ilvl w:val="0"/>
          <w:numId w:val="3"/>
        </w:numPr>
        <w:spacing w:before="100" w:beforeAutospacing="1" w:after="100" w:afterAutospacing="1" w:line="240" w:lineRule="auto"/>
        <w:rPr>
          <w:rFonts w:asciiTheme="majorHAnsi" w:eastAsia="Times New Roman" w:hAnsiTheme="majorHAnsi" w:cstheme="majorHAnsi"/>
          <w:color w:val="0D0D0D" w:themeColor="text1" w:themeTint="F2"/>
          <w:sz w:val="24"/>
          <w:szCs w:val="24"/>
        </w:rPr>
      </w:pPr>
      <w:r w:rsidRPr="0042150F">
        <w:rPr>
          <w:rFonts w:asciiTheme="majorHAnsi" w:eastAsia="Times New Roman" w:hAnsiTheme="majorHAnsi" w:cstheme="majorHAnsi"/>
          <w:color w:val="0D0D0D" w:themeColor="text1" w:themeTint="F2"/>
          <w:sz w:val="24"/>
          <w:szCs w:val="24"/>
        </w:rPr>
        <w:t>C</w:t>
      </w:r>
      <w:r w:rsidRPr="00895C3B">
        <w:rPr>
          <w:rFonts w:asciiTheme="majorHAnsi" w:eastAsia="Times New Roman" w:hAnsiTheme="majorHAnsi" w:cstheme="majorHAnsi"/>
          <w:color w:val="0D0D0D" w:themeColor="text1" w:themeTint="F2"/>
          <w:sz w:val="24"/>
          <w:szCs w:val="24"/>
        </w:rPr>
        <w:t>onduct of animal-related activities without appropriate IACUC review and approval</w:t>
      </w:r>
    </w:p>
    <w:p w14:paraId="27A2114D" w14:textId="666BCE25" w:rsidR="00895C3B" w:rsidRPr="00895C3B" w:rsidRDefault="00895C3B" w:rsidP="00895C3B">
      <w:pPr>
        <w:numPr>
          <w:ilvl w:val="0"/>
          <w:numId w:val="3"/>
        </w:numPr>
        <w:spacing w:before="100" w:beforeAutospacing="1" w:after="100" w:afterAutospacing="1" w:line="240" w:lineRule="auto"/>
        <w:rPr>
          <w:rFonts w:asciiTheme="majorHAnsi" w:eastAsia="Times New Roman" w:hAnsiTheme="majorHAnsi" w:cstheme="majorHAnsi"/>
          <w:color w:val="0D0D0D" w:themeColor="text1" w:themeTint="F2"/>
          <w:sz w:val="24"/>
          <w:szCs w:val="24"/>
        </w:rPr>
      </w:pPr>
      <w:r w:rsidRPr="0042150F">
        <w:rPr>
          <w:rFonts w:asciiTheme="majorHAnsi" w:eastAsia="Times New Roman" w:hAnsiTheme="majorHAnsi" w:cstheme="majorHAnsi"/>
          <w:color w:val="0D0D0D" w:themeColor="text1" w:themeTint="F2"/>
          <w:sz w:val="24"/>
          <w:szCs w:val="24"/>
        </w:rPr>
        <w:t>F</w:t>
      </w:r>
      <w:r w:rsidRPr="00895C3B">
        <w:rPr>
          <w:rFonts w:asciiTheme="majorHAnsi" w:eastAsia="Times New Roman" w:hAnsiTheme="majorHAnsi" w:cstheme="majorHAnsi"/>
          <w:color w:val="0D0D0D" w:themeColor="text1" w:themeTint="F2"/>
          <w:sz w:val="24"/>
          <w:szCs w:val="24"/>
        </w:rPr>
        <w:t>ailure to adhere to IACUC-approved protocols</w:t>
      </w:r>
    </w:p>
    <w:p w14:paraId="0F7E6D26" w14:textId="7E099735" w:rsidR="00895C3B" w:rsidRPr="00895C3B" w:rsidRDefault="00895C3B" w:rsidP="00895C3B">
      <w:pPr>
        <w:numPr>
          <w:ilvl w:val="0"/>
          <w:numId w:val="3"/>
        </w:numPr>
        <w:spacing w:before="100" w:beforeAutospacing="1" w:after="100" w:afterAutospacing="1" w:line="240" w:lineRule="auto"/>
        <w:rPr>
          <w:rFonts w:asciiTheme="majorHAnsi" w:eastAsia="Times New Roman" w:hAnsiTheme="majorHAnsi" w:cstheme="majorHAnsi"/>
          <w:color w:val="0D0D0D" w:themeColor="text1" w:themeTint="F2"/>
          <w:sz w:val="24"/>
          <w:szCs w:val="24"/>
        </w:rPr>
      </w:pPr>
      <w:r w:rsidRPr="0042150F">
        <w:rPr>
          <w:rFonts w:asciiTheme="majorHAnsi" w:eastAsia="Times New Roman" w:hAnsiTheme="majorHAnsi" w:cstheme="majorHAnsi"/>
          <w:color w:val="0D0D0D" w:themeColor="text1" w:themeTint="F2"/>
          <w:sz w:val="24"/>
          <w:szCs w:val="24"/>
        </w:rPr>
        <w:t>I</w:t>
      </w:r>
      <w:r w:rsidRPr="00895C3B">
        <w:rPr>
          <w:rFonts w:asciiTheme="majorHAnsi" w:eastAsia="Times New Roman" w:hAnsiTheme="majorHAnsi" w:cstheme="majorHAnsi"/>
          <w:color w:val="0D0D0D" w:themeColor="text1" w:themeTint="F2"/>
          <w:sz w:val="24"/>
          <w:szCs w:val="24"/>
        </w:rPr>
        <w:t>mplementation of any significant change to IACUC-approved protocols without prior IACUC approval</w:t>
      </w:r>
      <w:r w:rsidR="00C87BE7" w:rsidRPr="0042150F">
        <w:rPr>
          <w:rFonts w:asciiTheme="majorHAnsi" w:eastAsia="Times New Roman" w:hAnsiTheme="majorHAnsi" w:cstheme="majorHAnsi"/>
          <w:color w:val="0D0D0D" w:themeColor="text1" w:themeTint="F2"/>
          <w:sz w:val="24"/>
          <w:szCs w:val="24"/>
        </w:rPr>
        <w:t>.</w:t>
      </w:r>
    </w:p>
    <w:p w14:paraId="002E0ACC" w14:textId="70D8EC09" w:rsidR="00895C3B" w:rsidRPr="0042150F" w:rsidRDefault="00895C3B" w:rsidP="00895C3B">
      <w:pPr>
        <w:numPr>
          <w:ilvl w:val="0"/>
          <w:numId w:val="3"/>
        </w:numPr>
        <w:spacing w:before="100" w:beforeAutospacing="1" w:after="100" w:afterAutospacing="1" w:line="240" w:lineRule="auto"/>
        <w:rPr>
          <w:rFonts w:asciiTheme="majorHAnsi" w:eastAsia="Times New Roman" w:hAnsiTheme="majorHAnsi" w:cstheme="majorHAnsi"/>
          <w:color w:val="0D0D0D" w:themeColor="text1" w:themeTint="F2"/>
          <w:sz w:val="24"/>
          <w:szCs w:val="24"/>
        </w:rPr>
      </w:pPr>
      <w:r w:rsidRPr="0042150F">
        <w:rPr>
          <w:rFonts w:asciiTheme="majorHAnsi" w:eastAsia="Times New Roman" w:hAnsiTheme="majorHAnsi" w:cstheme="majorHAnsi"/>
          <w:color w:val="0D0D0D" w:themeColor="text1" w:themeTint="F2"/>
          <w:sz w:val="24"/>
          <w:szCs w:val="24"/>
        </w:rPr>
        <w:t>C</w:t>
      </w:r>
      <w:r w:rsidRPr="00895C3B">
        <w:rPr>
          <w:rFonts w:asciiTheme="majorHAnsi" w:eastAsia="Times New Roman" w:hAnsiTheme="majorHAnsi" w:cstheme="majorHAnsi"/>
          <w:color w:val="0D0D0D" w:themeColor="text1" w:themeTint="F2"/>
          <w:sz w:val="24"/>
          <w:szCs w:val="24"/>
        </w:rPr>
        <w:t xml:space="preserve">onduct of animal-related activities beyond the expiration date established by the IACUC (note that a complete review </w:t>
      </w:r>
      <w:r w:rsidR="00C87BE7" w:rsidRPr="0042150F">
        <w:rPr>
          <w:rFonts w:asciiTheme="majorHAnsi" w:eastAsia="Times New Roman" w:hAnsiTheme="majorHAnsi" w:cstheme="majorHAnsi"/>
          <w:color w:val="0D0D0D" w:themeColor="text1" w:themeTint="F2"/>
          <w:sz w:val="24"/>
          <w:szCs w:val="24"/>
        </w:rPr>
        <w:t>of a protocol</w:t>
      </w:r>
      <w:r w:rsidRPr="00895C3B">
        <w:rPr>
          <w:rFonts w:asciiTheme="majorHAnsi" w:eastAsia="Times New Roman" w:hAnsiTheme="majorHAnsi" w:cstheme="majorHAnsi"/>
          <w:color w:val="0D0D0D" w:themeColor="text1" w:themeTint="F2"/>
          <w:sz w:val="24"/>
          <w:szCs w:val="24"/>
        </w:rPr>
        <w:t xml:space="preserve"> is required at least once every three years)</w:t>
      </w:r>
      <w:r w:rsidR="00C87BE7" w:rsidRPr="0042150F">
        <w:rPr>
          <w:rFonts w:asciiTheme="majorHAnsi" w:eastAsia="Times New Roman" w:hAnsiTheme="majorHAnsi" w:cstheme="majorHAnsi"/>
          <w:color w:val="0D0D0D" w:themeColor="text1" w:themeTint="F2"/>
          <w:sz w:val="24"/>
          <w:szCs w:val="24"/>
        </w:rPr>
        <w:t>.</w:t>
      </w:r>
    </w:p>
    <w:p w14:paraId="60EE249B" w14:textId="77777777" w:rsidR="00C87BE7" w:rsidRPr="009006ED" w:rsidRDefault="00C87BE7" w:rsidP="00C87BE7">
      <w:pPr>
        <w:numPr>
          <w:ilvl w:val="0"/>
          <w:numId w:val="3"/>
        </w:numPr>
        <w:shd w:val="clear" w:color="auto" w:fill="FFFFFF"/>
        <w:spacing w:before="100" w:beforeAutospacing="1" w:after="100" w:afterAutospacing="1" w:line="240" w:lineRule="auto"/>
        <w:rPr>
          <w:rFonts w:asciiTheme="majorHAnsi" w:eastAsia="Times New Roman" w:hAnsiTheme="majorHAnsi" w:cstheme="majorHAnsi"/>
          <w:color w:val="0D0D0D" w:themeColor="text1" w:themeTint="F2"/>
          <w:sz w:val="24"/>
          <w:szCs w:val="24"/>
        </w:rPr>
      </w:pPr>
      <w:r w:rsidRPr="009006ED">
        <w:rPr>
          <w:rFonts w:asciiTheme="majorHAnsi" w:eastAsia="Times New Roman" w:hAnsiTheme="majorHAnsi" w:cstheme="majorHAnsi"/>
          <w:color w:val="0D0D0D" w:themeColor="text1" w:themeTint="F2"/>
          <w:sz w:val="24"/>
          <w:szCs w:val="24"/>
        </w:rPr>
        <w:t xml:space="preserve">Changing the animal species without prior </w:t>
      </w:r>
      <w:r w:rsidRPr="0042150F">
        <w:rPr>
          <w:rFonts w:asciiTheme="majorHAnsi" w:eastAsia="Times New Roman" w:hAnsiTheme="majorHAnsi" w:cstheme="majorHAnsi"/>
          <w:color w:val="0D0D0D" w:themeColor="text1" w:themeTint="F2"/>
          <w:sz w:val="24"/>
          <w:szCs w:val="24"/>
        </w:rPr>
        <w:t>IACUC</w:t>
      </w:r>
      <w:r w:rsidRPr="009006ED">
        <w:rPr>
          <w:rFonts w:asciiTheme="majorHAnsi" w:eastAsia="Times New Roman" w:hAnsiTheme="majorHAnsi" w:cstheme="majorHAnsi"/>
          <w:color w:val="0D0D0D" w:themeColor="text1" w:themeTint="F2"/>
          <w:sz w:val="24"/>
          <w:szCs w:val="24"/>
        </w:rPr>
        <w:t xml:space="preserve"> approval</w:t>
      </w:r>
    </w:p>
    <w:p w14:paraId="2AFF4871" w14:textId="77777777" w:rsidR="00C87BE7" w:rsidRPr="009006ED" w:rsidRDefault="00C87BE7" w:rsidP="00C87BE7">
      <w:pPr>
        <w:numPr>
          <w:ilvl w:val="0"/>
          <w:numId w:val="3"/>
        </w:numPr>
        <w:shd w:val="clear" w:color="auto" w:fill="FFFFFF"/>
        <w:spacing w:before="100" w:beforeAutospacing="1" w:after="100" w:afterAutospacing="1" w:line="240" w:lineRule="auto"/>
        <w:rPr>
          <w:rFonts w:asciiTheme="majorHAnsi" w:eastAsia="Times New Roman" w:hAnsiTheme="majorHAnsi" w:cstheme="majorHAnsi"/>
          <w:color w:val="0D0D0D" w:themeColor="text1" w:themeTint="F2"/>
          <w:sz w:val="24"/>
          <w:szCs w:val="24"/>
        </w:rPr>
      </w:pPr>
      <w:r w:rsidRPr="009006ED">
        <w:rPr>
          <w:rFonts w:asciiTheme="majorHAnsi" w:eastAsia="Times New Roman" w:hAnsiTheme="majorHAnsi" w:cstheme="majorHAnsi"/>
          <w:color w:val="0D0D0D" w:themeColor="text1" w:themeTint="F2"/>
          <w:sz w:val="24"/>
          <w:szCs w:val="24"/>
        </w:rPr>
        <w:t>Using additional animals beyond the number specified in the approved protocol</w:t>
      </w:r>
    </w:p>
    <w:p w14:paraId="4CE3F9AC" w14:textId="170D50D5" w:rsidR="00C87BE7" w:rsidRPr="00895C3B" w:rsidRDefault="00C87BE7" w:rsidP="0042150F">
      <w:pPr>
        <w:numPr>
          <w:ilvl w:val="0"/>
          <w:numId w:val="3"/>
        </w:numPr>
        <w:shd w:val="clear" w:color="auto" w:fill="FFFFFF"/>
        <w:spacing w:before="100" w:beforeAutospacing="1" w:after="100" w:afterAutospacing="1" w:line="240" w:lineRule="auto"/>
        <w:rPr>
          <w:rFonts w:asciiTheme="majorHAnsi" w:eastAsia="Times New Roman" w:hAnsiTheme="majorHAnsi" w:cstheme="majorHAnsi"/>
          <w:color w:val="0D0D0D" w:themeColor="text1" w:themeTint="F2"/>
          <w:sz w:val="24"/>
          <w:szCs w:val="24"/>
        </w:rPr>
      </w:pPr>
      <w:r w:rsidRPr="009006ED">
        <w:rPr>
          <w:rFonts w:asciiTheme="majorHAnsi" w:eastAsia="Times New Roman" w:hAnsiTheme="majorHAnsi" w:cstheme="majorHAnsi"/>
          <w:color w:val="0D0D0D" w:themeColor="text1" w:themeTint="F2"/>
          <w:sz w:val="24"/>
          <w:szCs w:val="24"/>
        </w:rPr>
        <w:lastRenderedPageBreak/>
        <w:t>Conduct of procedures by personnel not adequately trained and/or listed on the approved protocol</w:t>
      </w:r>
    </w:p>
    <w:p w14:paraId="48310837" w14:textId="2B66971F" w:rsidR="00895C3B" w:rsidRPr="00895C3B" w:rsidRDefault="00895C3B" w:rsidP="00895C3B">
      <w:pPr>
        <w:numPr>
          <w:ilvl w:val="0"/>
          <w:numId w:val="3"/>
        </w:numPr>
        <w:spacing w:before="100" w:beforeAutospacing="1" w:after="100" w:afterAutospacing="1" w:line="240" w:lineRule="auto"/>
        <w:rPr>
          <w:rFonts w:asciiTheme="majorHAnsi" w:eastAsia="Times New Roman" w:hAnsiTheme="majorHAnsi" w:cstheme="majorHAnsi"/>
          <w:color w:val="0D0D0D" w:themeColor="text1" w:themeTint="F2"/>
          <w:sz w:val="24"/>
          <w:szCs w:val="24"/>
        </w:rPr>
      </w:pPr>
      <w:r w:rsidRPr="0042150F">
        <w:rPr>
          <w:rFonts w:asciiTheme="majorHAnsi" w:eastAsia="Times New Roman" w:hAnsiTheme="majorHAnsi" w:cstheme="majorHAnsi"/>
          <w:color w:val="0D0D0D" w:themeColor="text1" w:themeTint="F2"/>
          <w:sz w:val="24"/>
          <w:szCs w:val="24"/>
        </w:rPr>
        <w:t>P</w:t>
      </w:r>
      <w:r w:rsidRPr="00895C3B">
        <w:rPr>
          <w:rFonts w:asciiTheme="majorHAnsi" w:eastAsia="Times New Roman" w:hAnsiTheme="majorHAnsi" w:cstheme="majorHAnsi"/>
          <w:color w:val="0D0D0D" w:themeColor="text1" w:themeTint="F2"/>
          <w:sz w:val="24"/>
          <w:szCs w:val="24"/>
        </w:rPr>
        <w:t xml:space="preserve">articipation in animal-related activities by individuals who have not been determined by the IACUC to be appropriately qualified and trained </w:t>
      </w:r>
      <w:r w:rsidR="00C87BE7" w:rsidRPr="0042150F">
        <w:rPr>
          <w:rFonts w:asciiTheme="majorHAnsi" w:eastAsia="Times New Roman" w:hAnsiTheme="majorHAnsi" w:cstheme="majorHAnsi"/>
          <w:color w:val="0D0D0D" w:themeColor="text1" w:themeTint="F2"/>
          <w:sz w:val="24"/>
          <w:szCs w:val="24"/>
        </w:rPr>
        <w:t>to do so.</w:t>
      </w:r>
    </w:p>
    <w:p w14:paraId="6F25103F" w14:textId="5CA15541" w:rsidR="00895C3B" w:rsidRPr="0042150F" w:rsidRDefault="00895C3B" w:rsidP="00C87BE7">
      <w:pPr>
        <w:numPr>
          <w:ilvl w:val="0"/>
          <w:numId w:val="3"/>
        </w:numPr>
        <w:spacing w:before="100" w:beforeAutospacing="1" w:after="100" w:afterAutospacing="1" w:line="240" w:lineRule="auto"/>
        <w:rPr>
          <w:rFonts w:asciiTheme="majorHAnsi" w:eastAsia="Times New Roman" w:hAnsiTheme="majorHAnsi" w:cstheme="majorHAnsi"/>
          <w:color w:val="0D0D0D" w:themeColor="text1" w:themeTint="F2"/>
          <w:sz w:val="24"/>
          <w:szCs w:val="24"/>
        </w:rPr>
      </w:pPr>
      <w:r w:rsidRPr="0042150F">
        <w:rPr>
          <w:rFonts w:asciiTheme="majorHAnsi" w:eastAsia="Times New Roman" w:hAnsiTheme="majorHAnsi" w:cstheme="majorHAnsi"/>
          <w:color w:val="0D0D0D" w:themeColor="text1" w:themeTint="F2"/>
          <w:sz w:val="24"/>
          <w:szCs w:val="24"/>
        </w:rPr>
        <w:t>F</w:t>
      </w:r>
      <w:r w:rsidRPr="00895C3B">
        <w:rPr>
          <w:rFonts w:asciiTheme="majorHAnsi" w:eastAsia="Times New Roman" w:hAnsiTheme="majorHAnsi" w:cstheme="majorHAnsi"/>
          <w:color w:val="0D0D0D" w:themeColor="text1" w:themeTint="F2"/>
          <w:sz w:val="24"/>
          <w:szCs w:val="24"/>
        </w:rPr>
        <w:t>ailure to monitor animals post-procedurally as necessary to ensure well-being (e.g., during recovery from anesthesia or during recuperation from invasive or debilitating procedures)</w:t>
      </w:r>
      <w:r w:rsidR="00C87BE7" w:rsidRPr="0042150F">
        <w:rPr>
          <w:rFonts w:asciiTheme="majorHAnsi" w:eastAsia="Times New Roman" w:hAnsiTheme="majorHAnsi" w:cstheme="majorHAnsi"/>
          <w:color w:val="0D0D0D" w:themeColor="text1" w:themeTint="F2"/>
          <w:sz w:val="24"/>
          <w:szCs w:val="24"/>
        </w:rPr>
        <w:t>.</w:t>
      </w:r>
    </w:p>
    <w:p w14:paraId="3450862A" w14:textId="6FEA77D9" w:rsidR="00C87BE7" w:rsidRPr="0042150F" w:rsidRDefault="00C87BE7" w:rsidP="00C87BE7">
      <w:pPr>
        <w:numPr>
          <w:ilvl w:val="0"/>
          <w:numId w:val="3"/>
        </w:numPr>
        <w:shd w:val="clear" w:color="auto" w:fill="FFFFFF"/>
        <w:spacing w:before="100" w:beforeAutospacing="1" w:after="100" w:afterAutospacing="1" w:line="240" w:lineRule="auto"/>
        <w:rPr>
          <w:rFonts w:asciiTheme="majorHAnsi" w:eastAsia="Times New Roman" w:hAnsiTheme="majorHAnsi" w:cstheme="majorHAnsi"/>
          <w:color w:val="0D0D0D" w:themeColor="text1" w:themeTint="F2"/>
          <w:sz w:val="24"/>
          <w:szCs w:val="24"/>
        </w:rPr>
      </w:pPr>
      <w:r w:rsidRPr="009006ED">
        <w:rPr>
          <w:rFonts w:asciiTheme="majorHAnsi" w:eastAsia="Times New Roman" w:hAnsiTheme="majorHAnsi" w:cstheme="majorHAnsi"/>
          <w:color w:val="0D0D0D" w:themeColor="text1" w:themeTint="F2"/>
          <w:sz w:val="24"/>
          <w:szCs w:val="24"/>
        </w:rPr>
        <w:t>Maintaining animals beyond the humane endpoints specified in the approved protocol</w:t>
      </w:r>
    </w:p>
    <w:p w14:paraId="7BED467B" w14:textId="73CEE7F4" w:rsidR="00895C3B" w:rsidRPr="00895C3B" w:rsidRDefault="00C87BE7" w:rsidP="00C87BE7">
      <w:pPr>
        <w:numPr>
          <w:ilvl w:val="0"/>
          <w:numId w:val="3"/>
        </w:numPr>
        <w:spacing w:before="100" w:beforeAutospacing="1" w:after="100" w:afterAutospacing="1" w:line="240" w:lineRule="auto"/>
        <w:rPr>
          <w:rFonts w:asciiTheme="majorHAnsi" w:eastAsia="Times New Roman" w:hAnsiTheme="majorHAnsi" w:cstheme="majorHAnsi"/>
          <w:color w:val="0D0D0D" w:themeColor="text1" w:themeTint="F2"/>
          <w:sz w:val="24"/>
          <w:szCs w:val="24"/>
        </w:rPr>
      </w:pPr>
      <w:r w:rsidRPr="0042150F">
        <w:rPr>
          <w:rFonts w:asciiTheme="majorHAnsi" w:eastAsia="Times New Roman" w:hAnsiTheme="majorHAnsi" w:cstheme="majorHAnsi"/>
          <w:color w:val="0D0D0D" w:themeColor="text1" w:themeTint="F2"/>
          <w:sz w:val="24"/>
          <w:szCs w:val="24"/>
        </w:rPr>
        <w:t xml:space="preserve"> </w:t>
      </w:r>
      <w:r w:rsidR="00895C3B" w:rsidRPr="0042150F">
        <w:rPr>
          <w:rFonts w:asciiTheme="majorHAnsi" w:eastAsia="Times New Roman" w:hAnsiTheme="majorHAnsi" w:cstheme="majorHAnsi"/>
          <w:color w:val="0D0D0D" w:themeColor="text1" w:themeTint="F2"/>
          <w:sz w:val="24"/>
          <w:szCs w:val="24"/>
        </w:rPr>
        <w:t>F</w:t>
      </w:r>
      <w:r w:rsidR="00895C3B" w:rsidRPr="00895C3B">
        <w:rPr>
          <w:rFonts w:asciiTheme="majorHAnsi" w:eastAsia="Times New Roman" w:hAnsiTheme="majorHAnsi" w:cstheme="majorHAnsi"/>
          <w:color w:val="0D0D0D" w:themeColor="text1" w:themeTint="F2"/>
          <w:sz w:val="24"/>
          <w:szCs w:val="24"/>
        </w:rPr>
        <w:t>ailure to ensure death of animals after euthanasia procedures (e.g., failed euthanasia with CO 2)</w:t>
      </w:r>
      <w:r w:rsidRPr="0042150F">
        <w:rPr>
          <w:rFonts w:asciiTheme="majorHAnsi" w:eastAsia="Times New Roman" w:hAnsiTheme="majorHAnsi" w:cstheme="majorHAnsi"/>
          <w:color w:val="0D0D0D" w:themeColor="text1" w:themeTint="F2"/>
          <w:sz w:val="24"/>
          <w:szCs w:val="24"/>
        </w:rPr>
        <w:t xml:space="preserve"> or </w:t>
      </w:r>
      <w:r w:rsidRPr="009006ED">
        <w:rPr>
          <w:rFonts w:asciiTheme="majorHAnsi" w:eastAsia="Times New Roman" w:hAnsiTheme="majorHAnsi" w:cstheme="majorHAnsi"/>
          <w:color w:val="0D0D0D" w:themeColor="text1" w:themeTint="F2"/>
          <w:sz w:val="24"/>
          <w:szCs w:val="24"/>
        </w:rPr>
        <w:t xml:space="preserve">Improper euthanasia techniques, or use of a method of euthanasia not approved for use by the </w:t>
      </w:r>
      <w:r w:rsidRPr="0042150F">
        <w:rPr>
          <w:rFonts w:asciiTheme="majorHAnsi" w:eastAsia="Times New Roman" w:hAnsiTheme="majorHAnsi" w:cstheme="majorHAnsi"/>
          <w:color w:val="0D0D0D" w:themeColor="text1" w:themeTint="F2"/>
          <w:sz w:val="24"/>
          <w:szCs w:val="24"/>
        </w:rPr>
        <w:t>IACUC</w:t>
      </w:r>
      <w:r w:rsidRPr="009006ED">
        <w:rPr>
          <w:rFonts w:asciiTheme="majorHAnsi" w:eastAsia="Times New Roman" w:hAnsiTheme="majorHAnsi" w:cstheme="majorHAnsi"/>
          <w:color w:val="0D0D0D" w:themeColor="text1" w:themeTint="F2"/>
          <w:sz w:val="24"/>
          <w:szCs w:val="24"/>
        </w:rPr>
        <w:t xml:space="preserve"> and/or the </w:t>
      </w:r>
      <w:hyperlink r:id="rId8" w:history="1">
        <w:r w:rsidRPr="009006ED">
          <w:rPr>
            <w:rStyle w:val="Hyperlink"/>
            <w:rFonts w:asciiTheme="majorHAnsi" w:eastAsia="Times New Roman" w:hAnsiTheme="majorHAnsi" w:cstheme="majorHAnsi"/>
            <w:color w:val="0D0D0D" w:themeColor="text1" w:themeTint="F2"/>
            <w:sz w:val="24"/>
            <w:szCs w:val="24"/>
          </w:rPr>
          <w:t>AVMA Guidelines on Euthanasia</w:t>
        </w:r>
        <w:r w:rsidRPr="0042150F">
          <w:rPr>
            <w:rStyle w:val="Hyperlink"/>
            <w:rFonts w:asciiTheme="majorHAnsi" w:eastAsia="Times New Roman" w:hAnsiTheme="majorHAnsi" w:cstheme="majorHAnsi"/>
            <w:color w:val="0D0D0D" w:themeColor="text1" w:themeTint="F2"/>
            <w:sz w:val="24"/>
            <w:szCs w:val="24"/>
          </w:rPr>
          <w:t xml:space="preserve"> 2020 Edition</w:t>
        </w:r>
      </w:hyperlink>
    </w:p>
    <w:p w14:paraId="58B5D7CA" w14:textId="11EB9564" w:rsidR="00895C3B" w:rsidRPr="00895C3B" w:rsidRDefault="00895C3B" w:rsidP="00895C3B">
      <w:pPr>
        <w:numPr>
          <w:ilvl w:val="0"/>
          <w:numId w:val="3"/>
        </w:numPr>
        <w:spacing w:before="100" w:beforeAutospacing="1" w:after="100" w:afterAutospacing="1" w:line="240" w:lineRule="auto"/>
        <w:rPr>
          <w:rFonts w:asciiTheme="majorHAnsi" w:eastAsia="Times New Roman" w:hAnsiTheme="majorHAnsi" w:cstheme="majorHAnsi"/>
          <w:color w:val="0D0D0D" w:themeColor="text1" w:themeTint="F2"/>
          <w:sz w:val="24"/>
          <w:szCs w:val="24"/>
        </w:rPr>
      </w:pPr>
      <w:r w:rsidRPr="0042150F">
        <w:rPr>
          <w:rFonts w:asciiTheme="majorHAnsi" w:eastAsia="Times New Roman" w:hAnsiTheme="majorHAnsi" w:cstheme="majorHAnsi"/>
          <w:color w:val="0D0D0D" w:themeColor="text1" w:themeTint="F2"/>
          <w:sz w:val="24"/>
          <w:szCs w:val="24"/>
        </w:rPr>
        <w:t>F</w:t>
      </w:r>
      <w:r w:rsidRPr="00895C3B">
        <w:rPr>
          <w:rFonts w:asciiTheme="majorHAnsi" w:eastAsia="Times New Roman" w:hAnsiTheme="majorHAnsi" w:cstheme="majorHAnsi"/>
          <w:color w:val="0D0D0D" w:themeColor="text1" w:themeTint="F2"/>
          <w:sz w:val="24"/>
          <w:szCs w:val="24"/>
        </w:rPr>
        <w:t>ailure of animal care and use personnel to carry out veterinary orders (e.g., treatments)</w:t>
      </w:r>
      <w:r w:rsidR="00C87BE7" w:rsidRPr="0042150F">
        <w:rPr>
          <w:rFonts w:asciiTheme="majorHAnsi" w:eastAsia="Times New Roman" w:hAnsiTheme="majorHAnsi" w:cstheme="majorHAnsi"/>
          <w:color w:val="0D0D0D" w:themeColor="text1" w:themeTint="F2"/>
          <w:sz w:val="24"/>
          <w:szCs w:val="24"/>
        </w:rPr>
        <w:t>.</w:t>
      </w:r>
    </w:p>
    <w:p w14:paraId="4D88B410" w14:textId="5C2DF4D0" w:rsidR="009006ED" w:rsidRPr="009006ED" w:rsidRDefault="00C87BE7" w:rsidP="009006ED">
      <w:pPr>
        <w:shd w:val="clear" w:color="auto" w:fill="FFFFFF"/>
        <w:spacing w:after="360" w:line="240" w:lineRule="auto"/>
        <w:rPr>
          <w:rFonts w:asciiTheme="majorHAnsi" w:eastAsia="Times New Roman" w:hAnsiTheme="majorHAnsi" w:cstheme="majorHAnsi"/>
          <w:color w:val="0D0D0D" w:themeColor="text1" w:themeTint="F2"/>
          <w:sz w:val="24"/>
          <w:szCs w:val="24"/>
        </w:rPr>
      </w:pPr>
      <w:r w:rsidRPr="0042150F">
        <w:rPr>
          <w:rFonts w:asciiTheme="majorHAnsi" w:eastAsia="Times New Roman" w:hAnsiTheme="majorHAnsi" w:cstheme="majorHAnsi"/>
          <w:color w:val="0D0D0D" w:themeColor="text1" w:themeTint="F2"/>
          <w:sz w:val="24"/>
          <w:szCs w:val="24"/>
        </w:rPr>
        <w:t>*</w:t>
      </w:r>
      <w:r w:rsidR="009006ED" w:rsidRPr="009006ED">
        <w:rPr>
          <w:rFonts w:asciiTheme="majorHAnsi" w:eastAsia="Times New Roman" w:hAnsiTheme="majorHAnsi" w:cstheme="majorHAnsi"/>
          <w:color w:val="0D0D0D" w:themeColor="text1" w:themeTint="F2"/>
          <w:sz w:val="24"/>
          <w:szCs w:val="24"/>
        </w:rPr>
        <w:t>While the USDA AWAR and PHS Policy do not contain specific IACUC-imposed sanctions other than suspension, the IO, in consultation with the</w:t>
      </w:r>
      <w:r w:rsidRPr="0042150F">
        <w:rPr>
          <w:rFonts w:asciiTheme="majorHAnsi" w:eastAsia="Times New Roman" w:hAnsiTheme="majorHAnsi" w:cstheme="majorHAnsi"/>
          <w:color w:val="0D0D0D" w:themeColor="text1" w:themeTint="F2"/>
          <w:sz w:val="24"/>
          <w:szCs w:val="24"/>
        </w:rPr>
        <w:t xml:space="preserve"> IACUC</w:t>
      </w:r>
      <w:r w:rsidR="009006ED" w:rsidRPr="009006ED">
        <w:rPr>
          <w:rFonts w:asciiTheme="majorHAnsi" w:eastAsia="Times New Roman" w:hAnsiTheme="majorHAnsi" w:cstheme="majorHAnsi"/>
          <w:color w:val="0D0D0D" w:themeColor="text1" w:themeTint="F2"/>
          <w:sz w:val="24"/>
          <w:szCs w:val="24"/>
        </w:rPr>
        <w:t>, has the authority to impose additional sanctions on an investigator found to be responsible for mistreatment or noncompliance.</w:t>
      </w:r>
    </w:p>
    <w:p w14:paraId="1956B422" w14:textId="77923727" w:rsidR="00C87BE7" w:rsidRPr="009006ED" w:rsidRDefault="009006ED" w:rsidP="009006ED">
      <w:pPr>
        <w:shd w:val="clear" w:color="auto" w:fill="FFFFFF"/>
        <w:spacing w:after="0" w:line="240" w:lineRule="auto"/>
        <w:rPr>
          <w:rFonts w:asciiTheme="majorHAnsi" w:eastAsia="Times New Roman" w:hAnsiTheme="majorHAnsi" w:cstheme="majorHAnsi"/>
          <w:color w:val="0D0D0D" w:themeColor="text1" w:themeTint="F2"/>
          <w:sz w:val="24"/>
          <w:szCs w:val="24"/>
        </w:rPr>
      </w:pPr>
      <w:r w:rsidRPr="009006ED">
        <w:rPr>
          <w:rFonts w:asciiTheme="majorHAnsi" w:eastAsia="Times New Roman" w:hAnsiTheme="majorHAnsi" w:cstheme="majorHAnsi"/>
          <w:color w:val="0D0D0D" w:themeColor="text1" w:themeTint="F2"/>
          <w:sz w:val="24"/>
          <w:szCs w:val="24"/>
        </w:rPr>
        <w:t>If the identity of the complainant is known, he/she will be notified in writing of the completion of the investigation, with an assurance that appropriate remedial action has been taken as applicable.</w:t>
      </w:r>
    </w:p>
    <w:p w14:paraId="4F090F65" w14:textId="77777777" w:rsidR="009006ED" w:rsidRPr="009006ED" w:rsidRDefault="009006ED" w:rsidP="009006ED">
      <w:pPr>
        <w:spacing w:after="192" w:line="240" w:lineRule="auto"/>
        <w:outlineLvl w:val="1"/>
        <w:rPr>
          <w:rFonts w:asciiTheme="majorHAnsi" w:eastAsia="Times New Roman" w:hAnsiTheme="majorHAnsi" w:cstheme="majorHAnsi"/>
          <w:b/>
          <w:bCs/>
          <w:color w:val="0D0D0D" w:themeColor="text1" w:themeTint="F2"/>
          <w:sz w:val="32"/>
          <w:szCs w:val="32"/>
        </w:rPr>
      </w:pPr>
      <w:r w:rsidRPr="009006ED">
        <w:rPr>
          <w:rFonts w:asciiTheme="majorHAnsi" w:eastAsia="Times New Roman" w:hAnsiTheme="majorHAnsi" w:cstheme="majorHAnsi"/>
          <w:b/>
          <w:bCs/>
          <w:color w:val="0D0D0D" w:themeColor="text1" w:themeTint="F2"/>
          <w:sz w:val="32"/>
          <w:szCs w:val="32"/>
        </w:rPr>
        <w:t>Confidentiality</w:t>
      </w:r>
    </w:p>
    <w:p w14:paraId="3A890050" w14:textId="7DA00F77" w:rsidR="009006ED" w:rsidRPr="0042150F" w:rsidRDefault="009006ED" w:rsidP="0042150F">
      <w:pPr>
        <w:spacing w:after="360" w:line="240" w:lineRule="auto"/>
        <w:rPr>
          <w:rFonts w:asciiTheme="majorHAnsi" w:eastAsia="Times New Roman" w:hAnsiTheme="majorHAnsi" w:cstheme="majorHAnsi"/>
          <w:color w:val="0D0D0D" w:themeColor="text1" w:themeTint="F2"/>
          <w:sz w:val="24"/>
          <w:szCs w:val="24"/>
        </w:rPr>
      </w:pPr>
      <w:r w:rsidRPr="009006ED">
        <w:rPr>
          <w:rFonts w:asciiTheme="majorHAnsi" w:eastAsia="Times New Roman" w:hAnsiTheme="majorHAnsi" w:cstheme="majorHAnsi"/>
          <w:color w:val="0D0D0D" w:themeColor="text1" w:themeTint="F2"/>
          <w:sz w:val="24"/>
          <w:szCs w:val="24"/>
        </w:rPr>
        <w:t>Details pertaining to an investigation in progress remain confidential to the extent possible to protect all concerned</w:t>
      </w:r>
      <w:r w:rsidR="005E26CF">
        <w:rPr>
          <w:rFonts w:asciiTheme="majorHAnsi" w:eastAsia="Times New Roman" w:hAnsiTheme="majorHAnsi" w:cstheme="majorHAnsi"/>
          <w:color w:val="0D0D0D" w:themeColor="text1" w:themeTint="F2"/>
          <w:sz w:val="24"/>
          <w:szCs w:val="24"/>
        </w:rPr>
        <w:t xml:space="preserve">. </w:t>
      </w:r>
    </w:p>
    <w:sectPr w:rsidR="009006ED" w:rsidRPr="0042150F">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46D7D6" w14:textId="77777777" w:rsidR="009006ED" w:rsidRDefault="009006ED" w:rsidP="009006ED">
      <w:pPr>
        <w:spacing w:after="0" w:line="240" w:lineRule="auto"/>
      </w:pPr>
      <w:r>
        <w:separator/>
      </w:r>
    </w:p>
  </w:endnote>
  <w:endnote w:type="continuationSeparator" w:id="0">
    <w:p w14:paraId="54EB47CB" w14:textId="77777777" w:rsidR="009006ED" w:rsidRDefault="009006ED" w:rsidP="00900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3338869"/>
      <w:docPartObj>
        <w:docPartGallery w:val="Page Numbers (Bottom of Page)"/>
        <w:docPartUnique/>
      </w:docPartObj>
    </w:sdtPr>
    <w:sdtEndPr>
      <w:rPr>
        <w:noProof/>
      </w:rPr>
    </w:sdtEndPr>
    <w:sdtContent>
      <w:p w14:paraId="6C738E26" w14:textId="1E41D895" w:rsidR="0042150F" w:rsidRDefault="0042150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25AD095" w14:textId="77777777" w:rsidR="0042150F" w:rsidRDefault="004215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F4F0CC" w14:textId="77777777" w:rsidR="009006ED" w:rsidRDefault="009006ED" w:rsidP="009006ED">
      <w:pPr>
        <w:spacing w:after="0" w:line="240" w:lineRule="auto"/>
      </w:pPr>
      <w:r>
        <w:separator/>
      </w:r>
    </w:p>
  </w:footnote>
  <w:footnote w:type="continuationSeparator" w:id="0">
    <w:p w14:paraId="4B6B8C8E" w14:textId="77777777" w:rsidR="009006ED" w:rsidRDefault="009006ED" w:rsidP="009006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FBD4B" w14:textId="48786E41" w:rsidR="009006ED" w:rsidRDefault="009006ED" w:rsidP="009006ED">
    <w:pPr>
      <w:jc w:val="center"/>
      <w:rPr>
        <w:rStyle w:val="Strong"/>
        <w:rFonts w:ascii="Arial" w:hAnsi="Arial" w:cs="Arial"/>
        <w:color w:val="333333"/>
        <w:sz w:val="21"/>
        <w:szCs w:val="21"/>
        <w:shd w:val="clear" w:color="auto" w:fill="FFFFFF"/>
      </w:rPr>
    </w:pPr>
    <w:r>
      <w:rPr>
        <w:noProof/>
      </w:rPr>
      <w:drawing>
        <wp:inline distT="0" distB="0" distL="0" distR="0" wp14:anchorId="2BF6B249" wp14:editId="32226D2B">
          <wp:extent cx="1914525" cy="533400"/>
          <wp:effectExtent l="0" t="0" r="9525" b="0"/>
          <wp:docPr id="1" name="Picture 1" descr="The new Cal Poly Pomo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new Cal Poly Pomon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533400"/>
                  </a:xfrm>
                  <a:prstGeom prst="rect">
                    <a:avLst/>
                  </a:prstGeom>
                  <a:noFill/>
                  <a:ln>
                    <a:noFill/>
                  </a:ln>
                </pic:spPr>
              </pic:pic>
            </a:graphicData>
          </a:graphic>
        </wp:inline>
      </w:drawing>
    </w:r>
  </w:p>
  <w:p w14:paraId="6F9DD523" w14:textId="77777777" w:rsidR="009006ED" w:rsidRDefault="009006ED" w:rsidP="009006ED">
    <w:pPr>
      <w:spacing w:after="0"/>
      <w:jc w:val="center"/>
      <w:rPr>
        <w:color w:val="262626" w:themeColor="text1" w:themeTint="D9"/>
        <w:sz w:val="20"/>
        <w:szCs w:val="20"/>
      </w:rPr>
    </w:pPr>
    <w:r>
      <w:rPr>
        <w:rStyle w:val="Strong"/>
        <w:rFonts w:ascii="Arial" w:hAnsi="Arial" w:cs="Arial"/>
        <w:color w:val="333333"/>
        <w:sz w:val="20"/>
        <w:szCs w:val="20"/>
        <w:shd w:val="clear" w:color="auto" w:fill="FFFFFF"/>
      </w:rPr>
      <w:t>Memorandum</w:t>
    </w:r>
    <w:r>
      <w:rPr>
        <w:rFonts w:ascii="Arial" w:hAnsi="Arial" w:cs="Arial"/>
        <w:b/>
        <w:bCs/>
        <w:color w:val="333333"/>
        <w:sz w:val="20"/>
        <w:szCs w:val="20"/>
        <w:shd w:val="clear" w:color="auto" w:fill="FFFFFF"/>
      </w:rPr>
      <w:br/>
    </w:r>
    <w:r>
      <w:rPr>
        <w:rFonts w:ascii="Arial" w:hAnsi="Arial" w:cs="Arial"/>
        <w:color w:val="262626" w:themeColor="text1" w:themeTint="D9"/>
        <w:sz w:val="20"/>
        <w:szCs w:val="20"/>
        <w:shd w:val="clear" w:color="auto" w:fill="FFFFFF"/>
      </w:rPr>
      <w:t>California State Polytechnic University, Pomona</w:t>
    </w:r>
  </w:p>
  <w:p w14:paraId="15069954" w14:textId="77777777" w:rsidR="009006ED" w:rsidRDefault="009006ED" w:rsidP="009006ED">
    <w:pPr>
      <w:spacing w:after="0"/>
      <w:jc w:val="center"/>
      <w:rPr>
        <w:rFonts w:ascii="Arial" w:hAnsi="Arial" w:cs="Arial"/>
        <w:color w:val="262626" w:themeColor="text1" w:themeTint="D9"/>
        <w:sz w:val="20"/>
        <w:szCs w:val="20"/>
        <w:shd w:val="clear" w:color="auto" w:fill="FFFFFF"/>
      </w:rPr>
    </w:pPr>
    <w:r>
      <w:rPr>
        <w:rFonts w:ascii="Arial" w:hAnsi="Arial" w:cs="Arial"/>
        <w:color w:val="262626" w:themeColor="text1" w:themeTint="D9"/>
        <w:sz w:val="20"/>
        <w:szCs w:val="20"/>
        <w:shd w:val="clear" w:color="auto" w:fill="FFFFFF"/>
      </w:rPr>
      <w:t>Office of Research Innovation &amp; Economic Development</w:t>
    </w:r>
  </w:p>
  <w:p w14:paraId="3934D780" w14:textId="77777777" w:rsidR="009006ED" w:rsidRDefault="009006ED" w:rsidP="009006ED">
    <w:pPr>
      <w:spacing w:after="0"/>
      <w:jc w:val="center"/>
      <w:rPr>
        <w:rFonts w:ascii="Arial" w:hAnsi="Arial" w:cs="Arial"/>
        <w:color w:val="262626" w:themeColor="text1" w:themeTint="D9"/>
        <w:sz w:val="20"/>
        <w:szCs w:val="20"/>
        <w:shd w:val="clear" w:color="auto" w:fill="FFFFFF"/>
      </w:rPr>
    </w:pPr>
    <w:r>
      <w:rPr>
        <w:rFonts w:ascii="Arial" w:hAnsi="Arial" w:cs="Arial"/>
        <w:color w:val="262626" w:themeColor="text1" w:themeTint="D9"/>
        <w:sz w:val="20"/>
        <w:szCs w:val="20"/>
        <w:shd w:val="clear" w:color="auto" w:fill="FFFFFF"/>
      </w:rPr>
      <w:t xml:space="preserve">Office of Research Compliance- Institutional Animal Care and Use Committee </w:t>
    </w:r>
  </w:p>
  <w:p w14:paraId="643B1051" w14:textId="4F2A910C" w:rsidR="009006ED" w:rsidRPr="009006ED" w:rsidRDefault="009006ED" w:rsidP="009006ED">
    <w:pPr>
      <w:spacing w:after="0"/>
      <w:jc w:val="center"/>
      <w:rPr>
        <w:rFonts w:ascii="Arial" w:hAnsi="Arial" w:cs="Arial"/>
        <w:color w:val="262626" w:themeColor="text1" w:themeTint="D9"/>
        <w:sz w:val="20"/>
        <w:szCs w:val="20"/>
      </w:rPr>
    </w:pPr>
    <w:r>
      <w:rPr>
        <w:rFonts w:ascii="Arial" w:hAnsi="Arial" w:cs="Arial"/>
        <w:color w:val="262626" w:themeColor="text1" w:themeTint="D9"/>
        <w:sz w:val="20"/>
        <w:szCs w:val="20"/>
        <w:shd w:val="clear" w:color="auto" w:fill="FFFFFF"/>
      </w:rPr>
      <w:t xml:space="preserve">3801 West Temple Avenue Pomona, California 91768 Building 1 Room 229 </w:t>
    </w:r>
    <w:r>
      <w:rPr>
        <w:rFonts w:ascii="Arial" w:hAnsi="Arial" w:cs="Arial"/>
        <w:color w:val="262626" w:themeColor="text1" w:themeTint="D9"/>
        <w:sz w:val="20"/>
        <w:szCs w:val="20"/>
      </w:rPr>
      <w:br/>
    </w:r>
    <w:r>
      <w:rPr>
        <w:rFonts w:ascii="Arial" w:eastAsia="Times New Roman" w:hAnsi="Arial" w:cs="Arial"/>
        <w:i/>
        <w:iCs/>
        <w:color w:val="262626" w:themeColor="text1" w:themeTint="D9"/>
        <w:sz w:val="20"/>
        <w:szCs w:val="20"/>
      </w:rPr>
      <w:t>Animal Welfare Assurance # A3344-01 – IACUC principles: Reduce, Refine and Replace</w:t>
    </w:r>
  </w:p>
  <w:p w14:paraId="6EB69EEA" w14:textId="527F63A2" w:rsidR="009006ED" w:rsidRDefault="009006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B35F0"/>
    <w:multiLevelType w:val="hybridMultilevel"/>
    <w:tmpl w:val="0B028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832023"/>
    <w:multiLevelType w:val="multilevel"/>
    <w:tmpl w:val="4D507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DC694C"/>
    <w:multiLevelType w:val="multilevel"/>
    <w:tmpl w:val="97E6005E"/>
    <w:lvl w:ilvl="0">
      <w:start w:val="1"/>
      <w:numFmt w:val="bullet"/>
      <w:lvlText w:val=""/>
      <w:lvlJc w:val="left"/>
      <w:pPr>
        <w:tabs>
          <w:tab w:val="num" w:pos="1366"/>
        </w:tabs>
        <w:ind w:left="1366" w:hanging="360"/>
      </w:pPr>
      <w:rPr>
        <w:rFonts w:ascii="Symbol" w:hAnsi="Symbol" w:hint="default"/>
        <w:sz w:val="20"/>
      </w:rPr>
    </w:lvl>
    <w:lvl w:ilvl="1" w:tentative="1">
      <w:start w:val="1"/>
      <w:numFmt w:val="bullet"/>
      <w:lvlText w:val="o"/>
      <w:lvlJc w:val="left"/>
      <w:pPr>
        <w:tabs>
          <w:tab w:val="num" w:pos="2086"/>
        </w:tabs>
        <w:ind w:left="2086" w:hanging="360"/>
      </w:pPr>
      <w:rPr>
        <w:rFonts w:ascii="Courier New" w:hAnsi="Courier New" w:hint="default"/>
        <w:sz w:val="20"/>
      </w:rPr>
    </w:lvl>
    <w:lvl w:ilvl="2" w:tentative="1">
      <w:start w:val="1"/>
      <w:numFmt w:val="bullet"/>
      <w:lvlText w:val=""/>
      <w:lvlJc w:val="left"/>
      <w:pPr>
        <w:tabs>
          <w:tab w:val="num" w:pos="2806"/>
        </w:tabs>
        <w:ind w:left="2806" w:hanging="360"/>
      </w:pPr>
      <w:rPr>
        <w:rFonts w:ascii="Wingdings" w:hAnsi="Wingdings" w:hint="default"/>
        <w:sz w:val="20"/>
      </w:rPr>
    </w:lvl>
    <w:lvl w:ilvl="3" w:tentative="1">
      <w:start w:val="1"/>
      <w:numFmt w:val="bullet"/>
      <w:lvlText w:val=""/>
      <w:lvlJc w:val="left"/>
      <w:pPr>
        <w:tabs>
          <w:tab w:val="num" w:pos="3526"/>
        </w:tabs>
        <w:ind w:left="3526" w:hanging="360"/>
      </w:pPr>
      <w:rPr>
        <w:rFonts w:ascii="Wingdings" w:hAnsi="Wingdings" w:hint="default"/>
        <w:sz w:val="20"/>
      </w:rPr>
    </w:lvl>
    <w:lvl w:ilvl="4" w:tentative="1">
      <w:start w:val="1"/>
      <w:numFmt w:val="bullet"/>
      <w:lvlText w:val=""/>
      <w:lvlJc w:val="left"/>
      <w:pPr>
        <w:tabs>
          <w:tab w:val="num" w:pos="4246"/>
        </w:tabs>
        <w:ind w:left="4246" w:hanging="360"/>
      </w:pPr>
      <w:rPr>
        <w:rFonts w:ascii="Wingdings" w:hAnsi="Wingdings" w:hint="default"/>
        <w:sz w:val="20"/>
      </w:rPr>
    </w:lvl>
    <w:lvl w:ilvl="5" w:tentative="1">
      <w:start w:val="1"/>
      <w:numFmt w:val="bullet"/>
      <w:lvlText w:val=""/>
      <w:lvlJc w:val="left"/>
      <w:pPr>
        <w:tabs>
          <w:tab w:val="num" w:pos="4966"/>
        </w:tabs>
        <w:ind w:left="4966" w:hanging="360"/>
      </w:pPr>
      <w:rPr>
        <w:rFonts w:ascii="Wingdings" w:hAnsi="Wingdings" w:hint="default"/>
        <w:sz w:val="20"/>
      </w:rPr>
    </w:lvl>
    <w:lvl w:ilvl="6" w:tentative="1">
      <w:start w:val="1"/>
      <w:numFmt w:val="bullet"/>
      <w:lvlText w:val=""/>
      <w:lvlJc w:val="left"/>
      <w:pPr>
        <w:tabs>
          <w:tab w:val="num" w:pos="5686"/>
        </w:tabs>
        <w:ind w:left="5686" w:hanging="360"/>
      </w:pPr>
      <w:rPr>
        <w:rFonts w:ascii="Wingdings" w:hAnsi="Wingdings" w:hint="default"/>
        <w:sz w:val="20"/>
      </w:rPr>
    </w:lvl>
    <w:lvl w:ilvl="7" w:tentative="1">
      <w:start w:val="1"/>
      <w:numFmt w:val="bullet"/>
      <w:lvlText w:val=""/>
      <w:lvlJc w:val="left"/>
      <w:pPr>
        <w:tabs>
          <w:tab w:val="num" w:pos="6406"/>
        </w:tabs>
        <w:ind w:left="6406" w:hanging="360"/>
      </w:pPr>
      <w:rPr>
        <w:rFonts w:ascii="Wingdings" w:hAnsi="Wingdings" w:hint="default"/>
        <w:sz w:val="20"/>
      </w:rPr>
    </w:lvl>
    <w:lvl w:ilvl="8" w:tentative="1">
      <w:start w:val="1"/>
      <w:numFmt w:val="bullet"/>
      <w:lvlText w:val=""/>
      <w:lvlJc w:val="left"/>
      <w:pPr>
        <w:tabs>
          <w:tab w:val="num" w:pos="7126"/>
        </w:tabs>
        <w:ind w:left="7126"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6ED"/>
    <w:rsid w:val="00124AFF"/>
    <w:rsid w:val="00145D0B"/>
    <w:rsid w:val="001D3602"/>
    <w:rsid w:val="00356382"/>
    <w:rsid w:val="0042150F"/>
    <w:rsid w:val="004E6E94"/>
    <w:rsid w:val="005E26CF"/>
    <w:rsid w:val="0085191C"/>
    <w:rsid w:val="00895C3B"/>
    <w:rsid w:val="009006ED"/>
    <w:rsid w:val="00BC7D77"/>
    <w:rsid w:val="00C87BE7"/>
    <w:rsid w:val="00D16F4D"/>
    <w:rsid w:val="00EA7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B0DC6"/>
  <w15:chartTrackingRefBased/>
  <w15:docId w15:val="{875FF7DE-8058-4536-B8DE-59E1935B3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006E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unhideWhenUsed/>
    <w:qFormat/>
    <w:rsid w:val="009006E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06ED"/>
    <w:rPr>
      <w:rFonts w:ascii="Times New Roman" w:eastAsia="Times New Roman" w:hAnsi="Times New Roman" w:cs="Times New Roman"/>
      <w:b/>
      <w:bCs/>
      <w:sz w:val="36"/>
      <w:szCs w:val="36"/>
    </w:rPr>
  </w:style>
  <w:style w:type="character" w:customStyle="1" w:styleId="ms-rtecustom-orasectionheading1">
    <w:name w:val="ms-rtecustom-ora_section_heading1"/>
    <w:basedOn w:val="DefaultParagraphFont"/>
    <w:rsid w:val="009006ED"/>
  </w:style>
  <w:style w:type="paragraph" w:styleId="NormalWeb">
    <w:name w:val="Normal (Web)"/>
    <w:basedOn w:val="Normal"/>
    <w:uiPriority w:val="99"/>
    <w:semiHidden/>
    <w:unhideWhenUsed/>
    <w:rsid w:val="009006E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006ED"/>
    <w:rPr>
      <w:color w:val="0000FF"/>
      <w:u w:val="single"/>
    </w:rPr>
  </w:style>
  <w:style w:type="character" w:styleId="Emphasis">
    <w:name w:val="Emphasis"/>
    <w:basedOn w:val="DefaultParagraphFont"/>
    <w:uiPriority w:val="20"/>
    <w:qFormat/>
    <w:rsid w:val="009006ED"/>
    <w:rPr>
      <w:i/>
      <w:iCs/>
    </w:rPr>
  </w:style>
  <w:style w:type="character" w:styleId="Strong">
    <w:name w:val="Strong"/>
    <w:basedOn w:val="DefaultParagraphFont"/>
    <w:uiPriority w:val="22"/>
    <w:qFormat/>
    <w:rsid w:val="009006ED"/>
    <w:rPr>
      <w:b/>
      <w:bCs/>
    </w:rPr>
  </w:style>
  <w:style w:type="paragraph" w:styleId="Header">
    <w:name w:val="header"/>
    <w:basedOn w:val="Normal"/>
    <w:link w:val="HeaderChar"/>
    <w:uiPriority w:val="99"/>
    <w:unhideWhenUsed/>
    <w:rsid w:val="009006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6ED"/>
  </w:style>
  <w:style w:type="paragraph" w:styleId="Footer">
    <w:name w:val="footer"/>
    <w:basedOn w:val="Normal"/>
    <w:link w:val="FooterChar"/>
    <w:uiPriority w:val="99"/>
    <w:unhideWhenUsed/>
    <w:rsid w:val="009006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6ED"/>
  </w:style>
  <w:style w:type="character" w:customStyle="1" w:styleId="Heading4Char">
    <w:name w:val="Heading 4 Char"/>
    <w:basedOn w:val="DefaultParagraphFont"/>
    <w:link w:val="Heading4"/>
    <w:uiPriority w:val="9"/>
    <w:rsid w:val="009006ED"/>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BC7D77"/>
    <w:rPr>
      <w:color w:val="605E5C"/>
      <w:shd w:val="clear" w:color="auto" w:fill="E1DFDD"/>
    </w:rPr>
  </w:style>
  <w:style w:type="paragraph" w:styleId="ListParagraph">
    <w:name w:val="List Paragraph"/>
    <w:basedOn w:val="Normal"/>
    <w:uiPriority w:val="34"/>
    <w:qFormat/>
    <w:rsid w:val="00BC7D77"/>
    <w:pPr>
      <w:ind w:left="720"/>
      <w:contextualSpacing/>
    </w:pPr>
  </w:style>
  <w:style w:type="paragraph" w:customStyle="1" w:styleId="regulartext">
    <w:name w:val="regulartext"/>
    <w:basedOn w:val="Normal"/>
    <w:rsid w:val="00895C3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0623493">
      <w:bodyDiv w:val="1"/>
      <w:marLeft w:val="0"/>
      <w:marRight w:val="0"/>
      <w:marTop w:val="0"/>
      <w:marBottom w:val="0"/>
      <w:divBdr>
        <w:top w:val="none" w:sz="0" w:space="0" w:color="auto"/>
        <w:left w:val="none" w:sz="0" w:space="0" w:color="auto"/>
        <w:bottom w:val="none" w:sz="0" w:space="0" w:color="auto"/>
        <w:right w:val="none" w:sz="0" w:space="0" w:color="auto"/>
      </w:divBdr>
      <w:divsChild>
        <w:div w:id="243993847">
          <w:marLeft w:val="0"/>
          <w:marRight w:val="0"/>
          <w:marTop w:val="0"/>
          <w:marBottom w:val="0"/>
          <w:divBdr>
            <w:top w:val="none" w:sz="0" w:space="0" w:color="auto"/>
            <w:left w:val="none" w:sz="0" w:space="0" w:color="auto"/>
            <w:bottom w:val="none" w:sz="0" w:space="0" w:color="auto"/>
            <w:right w:val="none" w:sz="0" w:space="0" w:color="auto"/>
          </w:divBdr>
        </w:div>
        <w:div w:id="1507984621">
          <w:marLeft w:val="0"/>
          <w:marRight w:val="0"/>
          <w:marTop w:val="0"/>
          <w:marBottom w:val="0"/>
          <w:divBdr>
            <w:top w:val="none" w:sz="0" w:space="0" w:color="auto"/>
            <w:left w:val="none" w:sz="0" w:space="0" w:color="auto"/>
            <w:bottom w:val="none" w:sz="0" w:space="0" w:color="auto"/>
            <w:right w:val="none" w:sz="0" w:space="0" w:color="auto"/>
          </w:divBdr>
        </w:div>
        <w:div w:id="642349165">
          <w:marLeft w:val="0"/>
          <w:marRight w:val="0"/>
          <w:marTop w:val="0"/>
          <w:marBottom w:val="0"/>
          <w:divBdr>
            <w:top w:val="none" w:sz="0" w:space="0" w:color="auto"/>
            <w:left w:val="none" w:sz="0" w:space="0" w:color="auto"/>
            <w:bottom w:val="none" w:sz="0" w:space="0" w:color="auto"/>
            <w:right w:val="none" w:sz="0" w:space="0" w:color="auto"/>
          </w:divBdr>
        </w:div>
        <w:div w:id="279461948">
          <w:marLeft w:val="0"/>
          <w:marRight w:val="0"/>
          <w:marTop w:val="0"/>
          <w:marBottom w:val="0"/>
          <w:divBdr>
            <w:top w:val="none" w:sz="0" w:space="0" w:color="auto"/>
            <w:left w:val="none" w:sz="0" w:space="0" w:color="auto"/>
            <w:bottom w:val="none" w:sz="0" w:space="0" w:color="auto"/>
            <w:right w:val="none" w:sz="0" w:space="0" w:color="auto"/>
          </w:divBdr>
        </w:div>
        <w:div w:id="1501041929">
          <w:marLeft w:val="0"/>
          <w:marRight w:val="0"/>
          <w:marTop w:val="0"/>
          <w:marBottom w:val="0"/>
          <w:divBdr>
            <w:top w:val="none" w:sz="0" w:space="0" w:color="auto"/>
            <w:left w:val="none" w:sz="0" w:space="0" w:color="auto"/>
            <w:bottom w:val="none" w:sz="0" w:space="0" w:color="auto"/>
            <w:right w:val="none" w:sz="0" w:space="0" w:color="auto"/>
          </w:divBdr>
        </w:div>
      </w:divsChild>
    </w:div>
    <w:div w:id="373966235">
      <w:bodyDiv w:val="1"/>
      <w:marLeft w:val="0"/>
      <w:marRight w:val="0"/>
      <w:marTop w:val="0"/>
      <w:marBottom w:val="0"/>
      <w:divBdr>
        <w:top w:val="none" w:sz="0" w:space="0" w:color="auto"/>
        <w:left w:val="none" w:sz="0" w:space="0" w:color="auto"/>
        <w:bottom w:val="none" w:sz="0" w:space="0" w:color="auto"/>
        <w:right w:val="none" w:sz="0" w:space="0" w:color="auto"/>
      </w:divBdr>
    </w:div>
    <w:div w:id="1213227267">
      <w:bodyDiv w:val="1"/>
      <w:marLeft w:val="0"/>
      <w:marRight w:val="0"/>
      <w:marTop w:val="0"/>
      <w:marBottom w:val="0"/>
      <w:divBdr>
        <w:top w:val="none" w:sz="0" w:space="0" w:color="auto"/>
        <w:left w:val="none" w:sz="0" w:space="0" w:color="auto"/>
        <w:bottom w:val="none" w:sz="0" w:space="0" w:color="auto"/>
        <w:right w:val="none" w:sz="0" w:space="0" w:color="auto"/>
      </w:divBdr>
    </w:div>
    <w:div w:id="1675382141">
      <w:bodyDiv w:val="1"/>
      <w:marLeft w:val="0"/>
      <w:marRight w:val="0"/>
      <w:marTop w:val="0"/>
      <w:marBottom w:val="0"/>
      <w:divBdr>
        <w:top w:val="none" w:sz="0" w:space="0" w:color="auto"/>
        <w:left w:val="none" w:sz="0" w:space="0" w:color="auto"/>
        <w:bottom w:val="none" w:sz="0" w:space="0" w:color="auto"/>
        <w:right w:val="none" w:sz="0" w:space="0" w:color="auto"/>
      </w:divBdr>
    </w:div>
    <w:div w:id="208876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vma.org/sites/default/files/2020-01/2020-Euthanasia-Final-1-17-20.pdf" TargetMode="External"/><Relationship Id="rId3" Type="http://schemas.openxmlformats.org/officeDocument/2006/relationships/settings" Target="settings.xml"/><Relationship Id="rId7" Type="http://schemas.openxmlformats.org/officeDocument/2006/relationships/hyperlink" Target="mailto:iacuc-office@cpp.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894</Words>
  <Characters>5100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 E Monges-Hernandez</dc:creator>
  <cp:keywords/>
  <dc:description/>
  <cp:lastModifiedBy>Maya E Monges-Hernandez</cp:lastModifiedBy>
  <cp:revision>2</cp:revision>
  <dcterms:created xsi:type="dcterms:W3CDTF">2020-06-09T09:37:00Z</dcterms:created>
  <dcterms:modified xsi:type="dcterms:W3CDTF">2020-06-09T09:37:00Z</dcterms:modified>
</cp:coreProperties>
</file>