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254A0" w14:textId="77777777" w:rsidR="00383BA4" w:rsidRDefault="00383BA4" w:rsidP="00F66464">
      <w:pPr>
        <w:tabs>
          <w:tab w:val="decimal" w:pos="5040"/>
          <w:tab w:val="right" w:pos="9360"/>
        </w:tabs>
        <w:rPr>
          <w:sz w:val="32"/>
          <w:szCs w:val="32"/>
        </w:rPr>
      </w:pPr>
      <w:r w:rsidRPr="00F3777F">
        <w:rPr>
          <w:b/>
          <w:sz w:val="32"/>
          <w:szCs w:val="32"/>
        </w:rPr>
        <w:t>GE Area</w:t>
      </w:r>
      <w:r w:rsidRPr="00BE5253">
        <w:rPr>
          <w:b/>
          <w:sz w:val="32"/>
          <w:szCs w:val="32"/>
        </w:rPr>
        <w:t>: A1</w:t>
      </w:r>
      <w:r w:rsidRPr="00F3777F">
        <w:rPr>
          <w:sz w:val="32"/>
          <w:szCs w:val="32"/>
        </w:rPr>
        <w:tab/>
      </w:r>
      <w:r w:rsidR="00F66464" w:rsidRPr="00F66464">
        <w:rPr>
          <w:b/>
          <w:sz w:val="32"/>
          <w:szCs w:val="32"/>
        </w:rPr>
        <w:t>Title:</w:t>
      </w:r>
      <w:r w:rsidR="00F66464">
        <w:rPr>
          <w:sz w:val="32"/>
          <w:szCs w:val="32"/>
        </w:rPr>
        <w:t xml:space="preserve"> </w:t>
      </w:r>
      <w:r w:rsidR="006E3289">
        <w:rPr>
          <w:sz w:val="32"/>
          <w:szCs w:val="32"/>
        </w:rPr>
        <w:tab/>
      </w:r>
      <w:r w:rsidRPr="00F3777F">
        <w:rPr>
          <w:b/>
          <w:sz w:val="32"/>
          <w:szCs w:val="32"/>
        </w:rPr>
        <w:t>Course</w:t>
      </w:r>
      <w:r w:rsidR="006E3289">
        <w:rPr>
          <w:sz w:val="32"/>
          <w:szCs w:val="32"/>
        </w:rPr>
        <w:t xml:space="preserve"> #</w:t>
      </w:r>
      <w:r w:rsidR="00F66464">
        <w:rPr>
          <w:sz w:val="32"/>
          <w:szCs w:val="32"/>
        </w:rPr>
        <w:t xml:space="preserve">   </w:t>
      </w:r>
    </w:p>
    <w:p w14:paraId="605543CF" w14:textId="77777777" w:rsidR="006E3289" w:rsidRPr="004A1DF8" w:rsidRDefault="006E3289" w:rsidP="006E3289">
      <w:pPr>
        <w:tabs>
          <w:tab w:val="decimal" w:pos="5040"/>
          <w:tab w:val="right" w:pos="9090"/>
        </w:tabs>
        <w:rPr>
          <w:rFonts w:ascii="Arial" w:hAnsi="Arial" w:cs="Arial"/>
          <w:sz w:val="20"/>
          <w:szCs w:val="20"/>
        </w:rPr>
      </w:pPr>
      <w:r w:rsidRPr="004A1DF8">
        <w:rPr>
          <w:rFonts w:ascii="Arial" w:hAnsi="Arial" w:cs="Arial"/>
          <w:sz w:val="20"/>
          <w:szCs w:val="20"/>
        </w:rPr>
        <w:t xml:space="preserve">Reviewer’s Name: </w:t>
      </w:r>
    </w:p>
    <w:p w14:paraId="42173331" w14:textId="77777777" w:rsidR="00383BA4" w:rsidRPr="004A1DF8" w:rsidRDefault="00383BA4" w:rsidP="00383BA4">
      <w:pPr>
        <w:autoSpaceDE w:val="0"/>
        <w:autoSpaceDN w:val="0"/>
        <w:adjustRightInd w:val="0"/>
        <w:spacing w:after="0" w:line="240" w:lineRule="auto"/>
        <w:rPr>
          <w:rFonts w:ascii="Arial" w:hAnsi="Arial" w:cs="Arial"/>
          <w:b/>
          <w:bCs/>
          <w:color w:val="000000"/>
          <w:sz w:val="20"/>
          <w:szCs w:val="20"/>
        </w:rPr>
      </w:pPr>
      <w:r w:rsidRPr="004A1DF8">
        <w:rPr>
          <w:rFonts w:ascii="Arial" w:hAnsi="Arial" w:cs="Arial"/>
          <w:b/>
          <w:bCs/>
          <w:color w:val="000000"/>
          <w:sz w:val="20"/>
          <w:szCs w:val="20"/>
        </w:rPr>
        <w:t xml:space="preserve">A1: Oral Communication </w:t>
      </w:r>
    </w:p>
    <w:p w14:paraId="0F13B439" w14:textId="77777777" w:rsidR="00383BA4" w:rsidRPr="004A1DF8" w:rsidRDefault="00383BA4" w:rsidP="00383BA4">
      <w:pPr>
        <w:rPr>
          <w:rFonts w:ascii="Arial" w:hAnsi="Arial" w:cs="Arial"/>
          <w:sz w:val="20"/>
          <w:szCs w:val="20"/>
        </w:rPr>
      </w:pPr>
      <w:r w:rsidRPr="004A1DF8">
        <w:rPr>
          <w:rFonts w:ascii="Arial" w:hAnsi="Arial" w:cs="Arial"/>
          <w:color w:val="000000"/>
          <w:sz w:val="20"/>
          <w:szCs w:val="20"/>
        </w:rPr>
        <w:t>Students taking a course in fulfillment of subarea A1 will develop knowledge and understanding of the form, content, context, and effectiveness of oral communication. Students will develop proficiency in oral communication in English, examining communication from the rhetorical perspective and practicing reasoning and advocacy, organization, and accuracy. Students will practice the discovery, critical evaluation, and reporting of information, as well as reading and listening effectively.  Coursework must include active participation and practice in oral communication in English including exploration, development, understanding, and use of visual communication media and skill</w:t>
      </w:r>
      <w:r w:rsidRPr="004A1DF8">
        <w:rPr>
          <w:rFonts w:ascii="Arial" w:hAnsi="Arial" w:cs="Arial"/>
          <w:sz w:val="20"/>
          <w:szCs w:val="20"/>
        </w:rPr>
        <w:t xml:space="preserve"> </w:t>
      </w:r>
    </w:p>
    <w:tbl>
      <w:tblPr>
        <w:tblStyle w:val="TableGrid"/>
        <w:tblW w:w="0" w:type="auto"/>
        <w:tblInd w:w="18" w:type="dxa"/>
        <w:tblLook w:val="04A0" w:firstRow="1" w:lastRow="0" w:firstColumn="1" w:lastColumn="0" w:noHBand="0" w:noVBand="1"/>
      </w:tblPr>
      <w:tblGrid>
        <w:gridCol w:w="3802"/>
        <w:gridCol w:w="2527"/>
        <w:gridCol w:w="4471"/>
      </w:tblGrid>
      <w:tr w:rsidR="00F84697" w:rsidRPr="004A1DF8" w14:paraId="1E267CD3" w14:textId="77777777" w:rsidTr="004F6364">
        <w:tc>
          <w:tcPr>
            <w:tcW w:w="3802" w:type="dxa"/>
            <w:vAlign w:val="center"/>
          </w:tcPr>
          <w:p w14:paraId="01F5A4E2" w14:textId="77777777" w:rsidR="00F84697" w:rsidRPr="004A1DF8" w:rsidRDefault="00F84697" w:rsidP="00A0687D">
            <w:pPr>
              <w:jc w:val="center"/>
              <w:rPr>
                <w:rFonts w:ascii="Arial" w:hAnsi="Arial" w:cs="Arial"/>
                <w:sz w:val="20"/>
                <w:szCs w:val="20"/>
              </w:rPr>
            </w:pPr>
            <w:r w:rsidRPr="004A1DF8">
              <w:rPr>
                <w:rFonts w:ascii="Arial" w:hAnsi="Arial" w:cs="Arial"/>
                <w:sz w:val="20"/>
                <w:szCs w:val="20"/>
              </w:rPr>
              <w:t>Rubric Question</w:t>
            </w:r>
          </w:p>
        </w:tc>
        <w:tc>
          <w:tcPr>
            <w:tcW w:w="2527" w:type="dxa"/>
            <w:vAlign w:val="center"/>
          </w:tcPr>
          <w:p w14:paraId="47C33217" w14:textId="77777777" w:rsidR="00F84697" w:rsidRPr="004A1DF8" w:rsidRDefault="00F84697" w:rsidP="00A0687D">
            <w:pPr>
              <w:ind w:left="68"/>
              <w:jc w:val="center"/>
              <w:rPr>
                <w:rFonts w:ascii="Arial" w:hAnsi="Arial" w:cs="Arial"/>
                <w:sz w:val="20"/>
                <w:szCs w:val="20"/>
              </w:rPr>
            </w:pPr>
            <w:r w:rsidRPr="004A1DF8">
              <w:rPr>
                <w:rFonts w:ascii="Arial" w:hAnsi="Arial" w:cs="Arial"/>
                <w:sz w:val="20"/>
                <w:szCs w:val="20"/>
              </w:rPr>
              <w:t>GE subareas or SLOs mapped</w:t>
            </w:r>
          </w:p>
        </w:tc>
        <w:tc>
          <w:tcPr>
            <w:tcW w:w="4471" w:type="dxa"/>
            <w:vAlign w:val="center"/>
          </w:tcPr>
          <w:p w14:paraId="26657AD8" w14:textId="77777777" w:rsidR="00F84697" w:rsidRPr="004A1DF8" w:rsidRDefault="00F84697" w:rsidP="00A0687D">
            <w:pPr>
              <w:ind w:left="-29"/>
              <w:jc w:val="center"/>
              <w:rPr>
                <w:rFonts w:ascii="Arial" w:hAnsi="Arial" w:cs="Arial"/>
                <w:sz w:val="20"/>
                <w:szCs w:val="20"/>
              </w:rPr>
            </w:pPr>
            <w:r w:rsidRPr="004A1DF8">
              <w:rPr>
                <w:rFonts w:ascii="Arial" w:hAnsi="Arial" w:cs="Arial"/>
                <w:sz w:val="20"/>
                <w:szCs w:val="20"/>
              </w:rPr>
              <w:t>Comments</w:t>
            </w:r>
          </w:p>
        </w:tc>
      </w:tr>
      <w:tr w:rsidR="00F84697" w:rsidRPr="004A1DF8" w14:paraId="6FB993C6" w14:textId="77777777" w:rsidTr="004F6364">
        <w:tc>
          <w:tcPr>
            <w:tcW w:w="3802" w:type="dxa"/>
          </w:tcPr>
          <w:p w14:paraId="458F61A6" w14:textId="77777777" w:rsidR="00F84697" w:rsidRPr="004A1DF8" w:rsidRDefault="00F84697" w:rsidP="005E40F5">
            <w:pPr>
              <w:pStyle w:val="ListParagraph"/>
              <w:numPr>
                <w:ilvl w:val="0"/>
                <w:numId w:val="1"/>
              </w:numPr>
              <w:rPr>
                <w:rFonts w:ascii="Arial" w:hAnsi="Arial" w:cs="Arial"/>
                <w:sz w:val="20"/>
                <w:szCs w:val="20"/>
              </w:rPr>
            </w:pPr>
            <w:r w:rsidRPr="004A1DF8">
              <w:rPr>
                <w:rFonts w:ascii="Arial" w:hAnsi="Arial" w:cs="Arial"/>
                <w:sz w:val="20"/>
                <w:szCs w:val="20"/>
              </w:rPr>
              <w:t>Does the course meet the description of the GE Subarea?</w:t>
            </w:r>
          </w:p>
        </w:tc>
        <w:tc>
          <w:tcPr>
            <w:tcW w:w="2527" w:type="dxa"/>
          </w:tcPr>
          <w:p w14:paraId="28A20395" w14:textId="77777777" w:rsidR="00F84697" w:rsidRPr="004A1DF8" w:rsidRDefault="00F84697" w:rsidP="00A0687D">
            <w:pPr>
              <w:ind w:left="68"/>
              <w:rPr>
                <w:rFonts w:ascii="Arial" w:hAnsi="Arial" w:cs="Arial"/>
                <w:sz w:val="20"/>
                <w:szCs w:val="20"/>
              </w:rPr>
            </w:pPr>
            <w:r w:rsidRPr="004A1DF8">
              <w:rPr>
                <w:rFonts w:ascii="Arial" w:hAnsi="Arial" w:cs="Arial"/>
                <w:sz w:val="20"/>
                <w:szCs w:val="20"/>
              </w:rPr>
              <w:t>A1</w:t>
            </w:r>
            <w:r w:rsidR="00F208E1" w:rsidRPr="004A1DF8">
              <w:rPr>
                <w:rFonts w:ascii="Arial" w:hAnsi="Arial" w:cs="Arial"/>
                <w:sz w:val="20"/>
                <w:szCs w:val="20"/>
              </w:rPr>
              <w:t xml:space="preserve"> - (see full description above)</w:t>
            </w:r>
          </w:p>
        </w:tc>
        <w:tc>
          <w:tcPr>
            <w:tcW w:w="4471" w:type="dxa"/>
          </w:tcPr>
          <w:p w14:paraId="6A7042A5" w14:textId="77777777" w:rsidR="00F84697" w:rsidRPr="004A1DF8" w:rsidRDefault="00F84697" w:rsidP="00A0687D">
            <w:pPr>
              <w:ind w:left="-29"/>
              <w:rPr>
                <w:rFonts w:ascii="Arial" w:hAnsi="Arial" w:cs="Arial"/>
                <w:sz w:val="20"/>
                <w:szCs w:val="20"/>
              </w:rPr>
            </w:pPr>
          </w:p>
        </w:tc>
      </w:tr>
      <w:tr w:rsidR="00F84697" w:rsidRPr="004A1DF8" w14:paraId="4AACA848" w14:textId="77777777" w:rsidTr="004F6364">
        <w:trPr>
          <w:trHeight w:val="503"/>
        </w:trPr>
        <w:tc>
          <w:tcPr>
            <w:tcW w:w="3802" w:type="dxa"/>
            <w:vMerge w:val="restart"/>
          </w:tcPr>
          <w:p w14:paraId="3D66F8FC" w14:textId="77777777" w:rsidR="00F84697" w:rsidRPr="004A1DF8" w:rsidRDefault="00F84697" w:rsidP="005E40F5">
            <w:pPr>
              <w:pStyle w:val="ListParagraph"/>
              <w:numPr>
                <w:ilvl w:val="0"/>
                <w:numId w:val="1"/>
              </w:numPr>
              <w:rPr>
                <w:rFonts w:ascii="Arial" w:hAnsi="Arial" w:cs="Arial"/>
                <w:sz w:val="20"/>
                <w:szCs w:val="20"/>
              </w:rPr>
            </w:pPr>
            <w:r w:rsidRPr="004A1DF8">
              <w:rPr>
                <w:rFonts w:ascii="Arial" w:hAnsi="Arial" w:cs="Arial"/>
                <w:color w:val="000000"/>
                <w:sz w:val="20"/>
                <w:szCs w:val="20"/>
              </w:rPr>
              <w:t>Does the course fully address the GE SLOs mapped to the subarea</w:t>
            </w:r>
            <w:r w:rsidRPr="004A1DF8">
              <w:rPr>
                <w:rFonts w:ascii="Arial" w:hAnsi="Arial" w:cs="Arial"/>
                <w:sz w:val="20"/>
                <w:szCs w:val="20"/>
              </w:rPr>
              <w:t>? (list all of the SLOs mapped to this subarea)</w:t>
            </w:r>
          </w:p>
        </w:tc>
        <w:tc>
          <w:tcPr>
            <w:tcW w:w="2527" w:type="dxa"/>
          </w:tcPr>
          <w:p w14:paraId="326A9E4F" w14:textId="77777777" w:rsidR="00F84697" w:rsidRPr="004A1DF8" w:rsidRDefault="00F84697" w:rsidP="00A0687D">
            <w:pPr>
              <w:ind w:left="68"/>
              <w:rPr>
                <w:rFonts w:ascii="Arial" w:hAnsi="Arial" w:cs="Arial"/>
                <w:color w:val="000000"/>
                <w:sz w:val="20"/>
                <w:szCs w:val="20"/>
              </w:rPr>
            </w:pPr>
            <w:r w:rsidRPr="004A1DF8">
              <w:rPr>
                <w:rFonts w:ascii="Arial" w:hAnsi="Arial" w:cs="Arial"/>
                <w:color w:val="000000"/>
                <w:sz w:val="20"/>
                <w:szCs w:val="20"/>
              </w:rPr>
              <w:t>1a</w:t>
            </w:r>
            <w:r w:rsidR="003D13B7" w:rsidRPr="004A1DF8">
              <w:rPr>
                <w:rFonts w:ascii="Arial" w:hAnsi="Arial" w:cs="Arial"/>
                <w:color w:val="000000"/>
                <w:sz w:val="20"/>
                <w:szCs w:val="20"/>
              </w:rPr>
              <w:t xml:space="preserve"> – Write effectively</w:t>
            </w:r>
          </w:p>
        </w:tc>
        <w:tc>
          <w:tcPr>
            <w:tcW w:w="4471" w:type="dxa"/>
          </w:tcPr>
          <w:p w14:paraId="3F481078" w14:textId="77777777" w:rsidR="00F84697" w:rsidRPr="004A1DF8" w:rsidRDefault="00F84697" w:rsidP="00A0687D">
            <w:pPr>
              <w:ind w:left="-29"/>
              <w:rPr>
                <w:rFonts w:ascii="Arial" w:hAnsi="Arial" w:cs="Arial"/>
                <w:color w:val="000000"/>
                <w:sz w:val="20"/>
                <w:szCs w:val="20"/>
              </w:rPr>
            </w:pPr>
          </w:p>
        </w:tc>
      </w:tr>
      <w:tr w:rsidR="00F84697" w:rsidRPr="004A1DF8" w14:paraId="5716FF57" w14:textId="77777777" w:rsidTr="004F6364">
        <w:trPr>
          <w:trHeight w:val="890"/>
        </w:trPr>
        <w:tc>
          <w:tcPr>
            <w:tcW w:w="3802" w:type="dxa"/>
            <w:vMerge/>
          </w:tcPr>
          <w:p w14:paraId="5CC0A015" w14:textId="77777777" w:rsidR="00F84697" w:rsidRPr="004A1DF8" w:rsidRDefault="00F84697" w:rsidP="005E40F5">
            <w:pPr>
              <w:pStyle w:val="ListParagraph"/>
              <w:numPr>
                <w:ilvl w:val="0"/>
                <w:numId w:val="1"/>
              </w:numPr>
              <w:rPr>
                <w:rFonts w:ascii="Arial" w:hAnsi="Arial" w:cs="Arial"/>
                <w:color w:val="000000"/>
                <w:sz w:val="20"/>
                <w:szCs w:val="20"/>
              </w:rPr>
            </w:pPr>
          </w:p>
        </w:tc>
        <w:tc>
          <w:tcPr>
            <w:tcW w:w="2527" w:type="dxa"/>
          </w:tcPr>
          <w:p w14:paraId="64CA1BDF" w14:textId="77777777" w:rsidR="00F84697" w:rsidRPr="004A1DF8" w:rsidRDefault="00F84697" w:rsidP="00383BA4">
            <w:pPr>
              <w:ind w:left="68"/>
              <w:rPr>
                <w:rFonts w:ascii="Arial" w:hAnsi="Arial" w:cs="Arial"/>
                <w:color w:val="000000"/>
                <w:sz w:val="20"/>
                <w:szCs w:val="20"/>
              </w:rPr>
            </w:pPr>
            <w:r w:rsidRPr="004A1DF8">
              <w:rPr>
                <w:rFonts w:ascii="Arial" w:hAnsi="Arial" w:cs="Arial"/>
                <w:color w:val="000000"/>
                <w:sz w:val="20"/>
                <w:szCs w:val="20"/>
              </w:rPr>
              <w:t>1b</w:t>
            </w:r>
            <w:r w:rsidR="003D13B7" w:rsidRPr="004A1DF8">
              <w:rPr>
                <w:rFonts w:ascii="Arial" w:hAnsi="Arial" w:cs="Arial"/>
                <w:color w:val="000000"/>
                <w:sz w:val="20"/>
                <w:szCs w:val="20"/>
              </w:rPr>
              <w:t xml:space="preserve"> </w:t>
            </w:r>
            <w:r w:rsidR="00B52DBE">
              <w:rPr>
                <w:rFonts w:ascii="Arial" w:hAnsi="Arial" w:cs="Arial"/>
                <w:color w:val="000000"/>
                <w:sz w:val="20"/>
                <w:szCs w:val="20"/>
              </w:rPr>
              <w:t xml:space="preserve">- </w:t>
            </w:r>
            <w:r w:rsidR="00B52DBE" w:rsidRPr="001A5DB4">
              <w:rPr>
                <w:rFonts w:ascii="Arial" w:hAnsi="Arial" w:cs="Arial"/>
                <w:sz w:val="20"/>
                <w:szCs w:val="20"/>
              </w:rPr>
              <w:t>Speak effectively to various audiences</w:t>
            </w:r>
          </w:p>
        </w:tc>
        <w:tc>
          <w:tcPr>
            <w:tcW w:w="4471" w:type="dxa"/>
          </w:tcPr>
          <w:p w14:paraId="389C1679" w14:textId="77777777" w:rsidR="00F84697" w:rsidRPr="004A1DF8" w:rsidRDefault="00F84697" w:rsidP="00A0687D">
            <w:pPr>
              <w:ind w:left="-29"/>
              <w:rPr>
                <w:rFonts w:ascii="Arial" w:hAnsi="Arial" w:cs="Arial"/>
                <w:color w:val="000000"/>
                <w:sz w:val="20"/>
                <w:szCs w:val="20"/>
              </w:rPr>
            </w:pPr>
          </w:p>
        </w:tc>
      </w:tr>
      <w:tr w:rsidR="00F84697" w:rsidRPr="004A1DF8" w14:paraId="2295938D" w14:textId="77777777" w:rsidTr="004F6364">
        <w:trPr>
          <w:trHeight w:val="502"/>
        </w:trPr>
        <w:tc>
          <w:tcPr>
            <w:tcW w:w="3802" w:type="dxa"/>
            <w:vMerge/>
          </w:tcPr>
          <w:p w14:paraId="284E8F36" w14:textId="77777777" w:rsidR="00F84697" w:rsidRPr="004A1DF8" w:rsidRDefault="00F84697" w:rsidP="005E40F5">
            <w:pPr>
              <w:pStyle w:val="ListParagraph"/>
              <w:numPr>
                <w:ilvl w:val="0"/>
                <w:numId w:val="1"/>
              </w:numPr>
              <w:rPr>
                <w:rFonts w:ascii="Arial" w:hAnsi="Arial" w:cs="Arial"/>
                <w:color w:val="000000"/>
                <w:sz w:val="20"/>
                <w:szCs w:val="20"/>
              </w:rPr>
            </w:pPr>
          </w:p>
        </w:tc>
        <w:tc>
          <w:tcPr>
            <w:tcW w:w="2527" w:type="dxa"/>
          </w:tcPr>
          <w:p w14:paraId="68D8E5F4" w14:textId="77777777" w:rsidR="00F84697" w:rsidRPr="004A1DF8" w:rsidRDefault="00F84697" w:rsidP="00A0687D">
            <w:pPr>
              <w:ind w:left="68"/>
              <w:rPr>
                <w:rFonts w:ascii="Arial" w:hAnsi="Arial" w:cs="Arial"/>
                <w:color w:val="000000"/>
                <w:sz w:val="20"/>
                <w:szCs w:val="20"/>
              </w:rPr>
            </w:pPr>
            <w:r w:rsidRPr="004A1DF8">
              <w:rPr>
                <w:rFonts w:ascii="Arial" w:hAnsi="Arial" w:cs="Arial"/>
                <w:color w:val="000000"/>
                <w:sz w:val="20"/>
                <w:szCs w:val="20"/>
              </w:rPr>
              <w:t>1c</w:t>
            </w:r>
            <w:r w:rsidR="003D13B7" w:rsidRPr="004A1DF8">
              <w:rPr>
                <w:rFonts w:ascii="Arial" w:hAnsi="Arial" w:cs="Arial"/>
                <w:color w:val="000000"/>
                <w:sz w:val="20"/>
                <w:szCs w:val="20"/>
              </w:rPr>
              <w:t xml:space="preserve"> –</w:t>
            </w:r>
            <w:r w:rsidR="00A0687D" w:rsidRPr="004A1DF8">
              <w:rPr>
                <w:rFonts w:ascii="Arial" w:hAnsi="Arial" w:cs="Arial"/>
                <w:color w:val="000000"/>
                <w:sz w:val="20"/>
                <w:szCs w:val="20"/>
              </w:rPr>
              <w:t xml:space="preserve"> Find</w:t>
            </w:r>
            <w:r w:rsidR="003D13B7" w:rsidRPr="004A1DF8">
              <w:rPr>
                <w:rFonts w:ascii="Arial" w:hAnsi="Arial" w:cs="Arial"/>
                <w:color w:val="000000"/>
                <w:sz w:val="20"/>
                <w:szCs w:val="20"/>
              </w:rPr>
              <w:t>, evaluate, use and share information effectively &amp; ethically</w:t>
            </w:r>
          </w:p>
        </w:tc>
        <w:tc>
          <w:tcPr>
            <w:tcW w:w="4471" w:type="dxa"/>
          </w:tcPr>
          <w:p w14:paraId="63FAAB96" w14:textId="77777777" w:rsidR="00F84697" w:rsidRPr="004A1DF8" w:rsidRDefault="00F84697" w:rsidP="00162FBF">
            <w:pPr>
              <w:ind w:left="-29"/>
              <w:rPr>
                <w:rFonts w:ascii="Arial" w:hAnsi="Arial" w:cs="Arial"/>
                <w:color w:val="000000"/>
                <w:sz w:val="20"/>
                <w:szCs w:val="20"/>
              </w:rPr>
            </w:pPr>
          </w:p>
        </w:tc>
      </w:tr>
      <w:tr w:rsidR="00F84697" w:rsidRPr="004A1DF8" w14:paraId="2D086AC3" w14:textId="77777777" w:rsidTr="004F6364">
        <w:trPr>
          <w:trHeight w:val="502"/>
        </w:trPr>
        <w:tc>
          <w:tcPr>
            <w:tcW w:w="3802" w:type="dxa"/>
            <w:vMerge/>
          </w:tcPr>
          <w:p w14:paraId="5F4A5DF0" w14:textId="77777777" w:rsidR="00F84697" w:rsidRPr="004A1DF8" w:rsidRDefault="00F84697" w:rsidP="005E40F5">
            <w:pPr>
              <w:pStyle w:val="ListParagraph"/>
              <w:numPr>
                <w:ilvl w:val="0"/>
                <w:numId w:val="1"/>
              </w:numPr>
              <w:rPr>
                <w:rFonts w:ascii="Arial" w:hAnsi="Arial" w:cs="Arial"/>
                <w:color w:val="000000"/>
                <w:sz w:val="20"/>
                <w:szCs w:val="20"/>
              </w:rPr>
            </w:pPr>
          </w:p>
        </w:tc>
        <w:tc>
          <w:tcPr>
            <w:tcW w:w="2527" w:type="dxa"/>
          </w:tcPr>
          <w:p w14:paraId="4302B899" w14:textId="77777777" w:rsidR="00F84697" w:rsidRPr="004A1DF8" w:rsidRDefault="002A3FAB" w:rsidP="00A0687D">
            <w:pPr>
              <w:ind w:left="68"/>
              <w:rPr>
                <w:rFonts w:ascii="Arial" w:hAnsi="Arial" w:cs="Arial"/>
                <w:color w:val="000000"/>
                <w:sz w:val="20"/>
                <w:szCs w:val="20"/>
              </w:rPr>
            </w:pPr>
            <w:r w:rsidRPr="004A1DF8">
              <w:rPr>
                <w:rFonts w:ascii="Arial" w:hAnsi="Arial" w:cs="Arial"/>
                <w:color w:val="000000"/>
                <w:sz w:val="20"/>
                <w:szCs w:val="20"/>
              </w:rPr>
              <w:t>4a</w:t>
            </w:r>
            <w:r w:rsidR="003D13B7" w:rsidRPr="004A1DF8">
              <w:rPr>
                <w:rFonts w:ascii="Arial" w:hAnsi="Arial" w:cs="Arial"/>
                <w:color w:val="000000"/>
                <w:sz w:val="20"/>
                <w:szCs w:val="20"/>
              </w:rPr>
              <w:t xml:space="preserve"> – Analyze factors that contribute to individual well-being</w:t>
            </w:r>
          </w:p>
        </w:tc>
        <w:tc>
          <w:tcPr>
            <w:tcW w:w="4471" w:type="dxa"/>
          </w:tcPr>
          <w:p w14:paraId="5A709B73" w14:textId="77777777" w:rsidR="00F84697" w:rsidRPr="004A1DF8" w:rsidRDefault="00F84697" w:rsidP="00A0687D">
            <w:pPr>
              <w:ind w:left="-29"/>
              <w:rPr>
                <w:rFonts w:ascii="Arial" w:hAnsi="Arial" w:cs="Arial"/>
                <w:color w:val="000000"/>
                <w:sz w:val="20"/>
                <w:szCs w:val="20"/>
              </w:rPr>
            </w:pPr>
          </w:p>
        </w:tc>
      </w:tr>
      <w:tr w:rsidR="00F84697" w:rsidRPr="004A1DF8" w14:paraId="16EF01F3" w14:textId="77777777" w:rsidTr="004F6364">
        <w:tc>
          <w:tcPr>
            <w:tcW w:w="3802" w:type="dxa"/>
          </w:tcPr>
          <w:p w14:paraId="36F48877" w14:textId="77777777" w:rsidR="00F84697" w:rsidRPr="004A1DF8" w:rsidRDefault="00F84697" w:rsidP="005E40F5">
            <w:pPr>
              <w:pStyle w:val="ListParagraph"/>
              <w:numPr>
                <w:ilvl w:val="0"/>
                <w:numId w:val="1"/>
              </w:numPr>
              <w:rPr>
                <w:rFonts w:ascii="Arial" w:hAnsi="Arial" w:cs="Arial"/>
                <w:sz w:val="20"/>
                <w:szCs w:val="20"/>
              </w:rPr>
            </w:pPr>
            <w:r w:rsidRPr="004A1DF8">
              <w:rPr>
                <w:rFonts w:ascii="Arial" w:hAnsi="Arial" w:cs="Arial"/>
                <w:sz w:val="20"/>
                <w:szCs w:val="20"/>
              </w:rPr>
              <w:t xml:space="preserve">Is there a meaningful writing component? </w:t>
            </w:r>
          </w:p>
        </w:tc>
        <w:tc>
          <w:tcPr>
            <w:tcW w:w="2527" w:type="dxa"/>
          </w:tcPr>
          <w:p w14:paraId="5E241DF6" w14:textId="77777777" w:rsidR="00F84697" w:rsidRPr="004A1DF8" w:rsidRDefault="00F84697" w:rsidP="00A0687D">
            <w:pPr>
              <w:ind w:left="68"/>
              <w:rPr>
                <w:rFonts w:ascii="Arial" w:hAnsi="Arial" w:cs="Arial"/>
                <w:sz w:val="20"/>
                <w:szCs w:val="20"/>
              </w:rPr>
            </w:pPr>
          </w:p>
        </w:tc>
        <w:tc>
          <w:tcPr>
            <w:tcW w:w="4471" w:type="dxa"/>
          </w:tcPr>
          <w:p w14:paraId="2A9E5351" w14:textId="77777777" w:rsidR="00F84697" w:rsidRPr="004A1DF8" w:rsidRDefault="00F84697" w:rsidP="00A0687D">
            <w:pPr>
              <w:ind w:left="-29"/>
              <w:rPr>
                <w:rFonts w:ascii="Arial" w:hAnsi="Arial" w:cs="Arial"/>
                <w:sz w:val="20"/>
                <w:szCs w:val="20"/>
              </w:rPr>
            </w:pPr>
          </w:p>
        </w:tc>
      </w:tr>
      <w:tr w:rsidR="00F84697" w:rsidRPr="004A1DF8" w14:paraId="3FE6F75D" w14:textId="77777777" w:rsidTr="004F6364">
        <w:tc>
          <w:tcPr>
            <w:tcW w:w="3802" w:type="dxa"/>
          </w:tcPr>
          <w:p w14:paraId="6A2A919B" w14:textId="77777777" w:rsidR="00F84697" w:rsidRPr="004A1DF8" w:rsidRDefault="00F84697" w:rsidP="005E40F5">
            <w:pPr>
              <w:pStyle w:val="ListParagraph"/>
              <w:numPr>
                <w:ilvl w:val="0"/>
                <w:numId w:val="1"/>
              </w:numPr>
              <w:rPr>
                <w:rFonts w:ascii="Arial" w:hAnsi="Arial" w:cs="Arial"/>
                <w:sz w:val="20"/>
                <w:szCs w:val="20"/>
              </w:rPr>
            </w:pPr>
            <w:r w:rsidRPr="004A1DF8">
              <w:rPr>
                <w:rFonts w:ascii="Arial" w:hAnsi="Arial" w:cs="Arial"/>
                <w:sz w:val="20"/>
                <w:szCs w:val="20"/>
              </w:rPr>
              <w:t>Is the mapping of methods of evaluation to the GE SLOs reasonable</w:t>
            </w:r>
          </w:p>
        </w:tc>
        <w:tc>
          <w:tcPr>
            <w:tcW w:w="2527" w:type="dxa"/>
          </w:tcPr>
          <w:p w14:paraId="7E20C856" w14:textId="77777777" w:rsidR="00F84697" w:rsidRPr="004A1DF8" w:rsidRDefault="00F84697" w:rsidP="00A0687D">
            <w:pPr>
              <w:ind w:left="68"/>
              <w:rPr>
                <w:rFonts w:ascii="Arial" w:hAnsi="Arial" w:cs="Arial"/>
                <w:sz w:val="20"/>
                <w:szCs w:val="20"/>
              </w:rPr>
            </w:pPr>
          </w:p>
        </w:tc>
        <w:tc>
          <w:tcPr>
            <w:tcW w:w="4471" w:type="dxa"/>
          </w:tcPr>
          <w:p w14:paraId="4AB29410" w14:textId="77777777" w:rsidR="00F84697" w:rsidRPr="004A1DF8" w:rsidRDefault="00F84697" w:rsidP="00A0687D">
            <w:pPr>
              <w:ind w:left="-29"/>
              <w:rPr>
                <w:rFonts w:ascii="Arial" w:hAnsi="Arial" w:cs="Arial"/>
                <w:sz w:val="20"/>
                <w:szCs w:val="20"/>
              </w:rPr>
            </w:pPr>
          </w:p>
        </w:tc>
      </w:tr>
    </w:tbl>
    <w:p w14:paraId="1AAC848D" w14:textId="77777777" w:rsidR="004E420E" w:rsidRDefault="004E420E" w:rsidP="004E420E">
      <w:pPr>
        <w:widowControl w:val="0"/>
        <w:autoSpaceDE w:val="0"/>
        <w:autoSpaceDN w:val="0"/>
        <w:adjustRightInd w:val="0"/>
        <w:spacing w:after="240" w:line="240" w:lineRule="auto"/>
        <w:rPr>
          <w:rFonts w:ascii="Arial" w:eastAsiaTheme="minorEastAsia" w:hAnsi="Arial" w:cs="Calibri"/>
          <w:b/>
          <w:sz w:val="18"/>
          <w:szCs w:val="18"/>
        </w:rPr>
      </w:pPr>
    </w:p>
    <w:p w14:paraId="6765DFED" w14:textId="77777777" w:rsidR="004E420E" w:rsidRDefault="004E420E" w:rsidP="004E420E">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4E420E" w14:paraId="7083CD77" w14:textId="77777777" w:rsidTr="00B32BE7">
        <w:tc>
          <w:tcPr>
            <w:tcW w:w="1192" w:type="dxa"/>
          </w:tcPr>
          <w:p w14:paraId="4A4C649C"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6FBC8285"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2DE81DF5"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3CD1FA60"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5E7EFB75"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48819564"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2E4CE7A9"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proofErr w:type="gramStart"/>
            <w:r>
              <w:rPr>
                <w:rFonts w:ascii="Arial" w:eastAsiaTheme="minorEastAsia" w:hAnsi="Arial" w:cs="Times"/>
                <w:b/>
                <w:sz w:val="18"/>
                <w:szCs w:val="18"/>
              </w:rPr>
              <w:t>ENV(</w:t>
            </w:r>
            <w:proofErr w:type="gramEnd"/>
            <w:r>
              <w:rPr>
                <w:rFonts w:ascii="Arial" w:eastAsiaTheme="minorEastAsia" w:hAnsi="Arial" w:cs="Times"/>
                <w:b/>
                <w:sz w:val="18"/>
                <w:szCs w:val="18"/>
              </w:rPr>
              <w:t>S)</w:t>
            </w:r>
          </w:p>
        </w:tc>
        <w:tc>
          <w:tcPr>
            <w:tcW w:w="1192" w:type="dxa"/>
          </w:tcPr>
          <w:p w14:paraId="575FF910"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17E2BD45" w14:textId="77777777" w:rsidR="004E420E" w:rsidRDefault="004E420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4E420E" w14:paraId="7C4F7C3F" w14:textId="77777777" w:rsidTr="00B32BE7">
        <w:tc>
          <w:tcPr>
            <w:tcW w:w="1192" w:type="dxa"/>
          </w:tcPr>
          <w:p w14:paraId="0B6E406D"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1FAA422F"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1B9BB78"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2D59E5DA"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CD3AE50"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0FD33644"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4D58447"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7E406CC2"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08994DEF" w14:textId="77777777" w:rsidR="004E420E" w:rsidRDefault="004E420E"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105E8675" w14:textId="77777777" w:rsidR="004E420E" w:rsidRDefault="004E420E" w:rsidP="004E420E">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1558FCDD" w14:textId="77777777" w:rsidR="004E420E" w:rsidRDefault="004E420E" w:rsidP="004E420E">
      <w:pPr>
        <w:widowControl w:val="0"/>
        <w:autoSpaceDE w:val="0"/>
        <w:autoSpaceDN w:val="0"/>
        <w:adjustRightInd w:val="0"/>
        <w:spacing w:after="240" w:line="240" w:lineRule="auto"/>
        <w:rPr>
          <w:rFonts w:ascii="Arial" w:eastAsiaTheme="minorEastAsia" w:hAnsi="Arial" w:cs="Calibri"/>
          <w:b/>
          <w:sz w:val="18"/>
          <w:szCs w:val="18"/>
        </w:rPr>
      </w:pPr>
      <w:bookmarkStart w:id="0" w:name="_GoBack"/>
      <w:bookmarkEnd w:id="0"/>
    </w:p>
    <w:sectPr w:rsidR="004E420E" w:rsidSect="00BD3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8B"/>
    <w:rsid w:val="00047E8B"/>
    <w:rsid w:val="00134962"/>
    <w:rsid w:val="00162FBF"/>
    <w:rsid w:val="002A3FAB"/>
    <w:rsid w:val="00383BA4"/>
    <w:rsid w:val="003D13B7"/>
    <w:rsid w:val="004A1DF8"/>
    <w:rsid w:val="004E420E"/>
    <w:rsid w:val="004F6364"/>
    <w:rsid w:val="00584355"/>
    <w:rsid w:val="0059251C"/>
    <w:rsid w:val="006E3289"/>
    <w:rsid w:val="00773EFE"/>
    <w:rsid w:val="00A0687D"/>
    <w:rsid w:val="00B52DBE"/>
    <w:rsid w:val="00BD3B0D"/>
    <w:rsid w:val="00BE5253"/>
    <w:rsid w:val="00E120B8"/>
    <w:rsid w:val="00E50063"/>
    <w:rsid w:val="00EC3A23"/>
    <w:rsid w:val="00F208E1"/>
    <w:rsid w:val="00F66464"/>
    <w:rsid w:val="00F8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7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8B"/>
    <w:pPr>
      <w:ind w:left="720"/>
      <w:contextualSpacing/>
    </w:pPr>
  </w:style>
  <w:style w:type="table" w:styleId="TableGrid">
    <w:name w:val="Table Grid"/>
    <w:basedOn w:val="TableNormal"/>
    <w:uiPriority w:val="59"/>
    <w:rsid w:val="0004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8B"/>
    <w:pPr>
      <w:ind w:left="720"/>
      <w:contextualSpacing/>
    </w:pPr>
  </w:style>
  <w:style w:type="table" w:styleId="TableGrid">
    <w:name w:val="Table Grid"/>
    <w:basedOn w:val="TableNormal"/>
    <w:uiPriority w:val="59"/>
    <w:rsid w:val="0004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F. Hoyt</dc:creator>
  <cp:lastModifiedBy>Joyce</cp:lastModifiedBy>
  <cp:revision>10</cp:revision>
  <cp:lastPrinted>2016-03-03T21:29:00Z</cp:lastPrinted>
  <dcterms:created xsi:type="dcterms:W3CDTF">2016-03-03T21:08:00Z</dcterms:created>
  <dcterms:modified xsi:type="dcterms:W3CDTF">2016-03-03T23:07:00Z</dcterms:modified>
</cp:coreProperties>
</file>