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10B0" w14:textId="79762418" w:rsidR="006307C1" w:rsidRDefault="006307C1" w:rsidP="006307C1">
      <w:pPr>
        <w:tabs>
          <w:tab w:val="decimal" w:pos="5040"/>
          <w:tab w:val="right" w:pos="9360"/>
        </w:tabs>
        <w:rPr>
          <w:sz w:val="32"/>
          <w:szCs w:val="32"/>
        </w:rPr>
      </w:pPr>
      <w:r w:rsidRPr="00F3777F">
        <w:rPr>
          <w:b/>
          <w:sz w:val="32"/>
          <w:szCs w:val="32"/>
        </w:rPr>
        <w:t>GE Area</w:t>
      </w:r>
      <w:r w:rsidRPr="00F3777F">
        <w:rPr>
          <w:sz w:val="32"/>
          <w:szCs w:val="32"/>
        </w:rPr>
        <w:t>:</w:t>
      </w:r>
      <w:r>
        <w:rPr>
          <w:sz w:val="32"/>
          <w:szCs w:val="32"/>
        </w:rPr>
        <w:t xml:space="preserve"> </w:t>
      </w:r>
      <w:r w:rsidRPr="005C02A8">
        <w:rPr>
          <w:b/>
          <w:sz w:val="32"/>
          <w:szCs w:val="32"/>
        </w:rPr>
        <w:t>B4</w:t>
      </w:r>
      <w:r w:rsidRPr="00F3777F">
        <w:rPr>
          <w:sz w:val="32"/>
          <w:szCs w:val="32"/>
        </w:rPr>
        <w:tab/>
      </w:r>
      <w:r w:rsidRPr="00F66464">
        <w:rPr>
          <w:b/>
          <w:sz w:val="32"/>
          <w:szCs w:val="32"/>
        </w:rPr>
        <w:t>Title:</w:t>
      </w:r>
      <w:r>
        <w:rPr>
          <w:sz w:val="32"/>
          <w:szCs w:val="32"/>
        </w:rPr>
        <w:t xml:space="preserve"> </w:t>
      </w:r>
      <w:r>
        <w:rPr>
          <w:sz w:val="32"/>
          <w:szCs w:val="32"/>
        </w:rPr>
        <w:tab/>
      </w:r>
      <w:r w:rsidRPr="00F3777F">
        <w:rPr>
          <w:b/>
          <w:sz w:val="32"/>
          <w:szCs w:val="32"/>
        </w:rPr>
        <w:t>Course</w:t>
      </w:r>
      <w:r>
        <w:rPr>
          <w:sz w:val="32"/>
          <w:szCs w:val="32"/>
        </w:rPr>
        <w:t xml:space="preserve"> #   </w:t>
      </w:r>
    </w:p>
    <w:p w14:paraId="546BDEEB" w14:textId="77777777" w:rsidR="006307C1" w:rsidRPr="00B906E5" w:rsidRDefault="006307C1" w:rsidP="006307C1">
      <w:pPr>
        <w:tabs>
          <w:tab w:val="decimal" w:pos="5040"/>
          <w:tab w:val="right" w:pos="9090"/>
        </w:tabs>
        <w:rPr>
          <w:rFonts w:ascii="Arial" w:hAnsi="Arial" w:cs="Arial"/>
          <w:sz w:val="20"/>
          <w:szCs w:val="20"/>
        </w:rPr>
      </w:pPr>
      <w:r w:rsidRPr="00B906E5">
        <w:rPr>
          <w:rFonts w:ascii="Arial" w:hAnsi="Arial" w:cs="Arial"/>
          <w:sz w:val="20"/>
          <w:szCs w:val="20"/>
        </w:rPr>
        <w:t xml:space="preserve">Reviewer’s Name: </w:t>
      </w:r>
    </w:p>
    <w:p w14:paraId="29F69B87" w14:textId="77777777" w:rsidR="00D462F4" w:rsidRPr="00B906E5" w:rsidRDefault="00D462F4" w:rsidP="00D462F4">
      <w:pPr>
        <w:spacing w:after="0" w:line="260" w:lineRule="exact"/>
        <w:ind w:right="72"/>
        <w:jc w:val="both"/>
        <w:rPr>
          <w:rFonts w:ascii="Arial" w:hAnsi="Arial" w:cs="Arial"/>
          <w:sz w:val="20"/>
          <w:szCs w:val="20"/>
        </w:rPr>
      </w:pPr>
      <w:r w:rsidRPr="00B906E5">
        <w:rPr>
          <w:rFonts w:ascii="Arial" w:hAnsi="Arial" w:cs="Arial"/>
          <w:b/>
          <w:sz w:val="20"/>
          <w:szCs w:val="20"/>
        </w:rPr>
        <w:t xml:space="preserve">B4: Quantitative Reasoning </w:t>
      </w:r>
    </w:p>
    <w:p w14:paraId="17A920F6" w14:textId="77777777" w:rsidR="001943C4" w:rsidRDefault="001943C4" w:rsidP="001943C4">
      <w:pPr>
        <w:spacing w:line="260" w:lineRule="exact"/>
        <w:ind w:right="73"/>
        <w:jc w:val="both"/>
        <w:rPr>
          <w:rFonts w:ascii="Arial" w:hAnsi="Arial" w:cs="Arial"/>
          <w:sz w:val="20"/>
          <w:szCs w:val="20"/>
        </w:rPr>
      </w:pPr>
      <w:r>
        <w:t>Courses in this subarea will require the student to use basic mathematical skills to develop mathematical reasoning, investigative and problem-solving abilities, including applications from/to real life situations. Students will also be able to explain and apply basic mathematical concepts and solve problems using quantitative methods. In addition to traditional mathematics, courses in subarea B4 may include computer science, personal finance, statistics or discipline-based mathematics or quantitative reasoning courses, for example</w:t>
      </w:r>
    </w:p>
    <w:tbl>
      <w:tblPr>
        <w:tblStyle w:val="TableGrid"/>
        <w:tblW w:w="0" w:type="auto"/>
        <w:tblInd w:w="108" w:type="dxa"/>
        <w:tblLook w:val="04A0" w:firstRow="1" w:lastRow="0" w:firstColumn="1" w:lastColumn="0" w:noHBand="0" w:noVBand="1"/>
      </w:tblPr>
      <w:tblGrid>
        <w:gridCol w:w="3150"/>
        <w:gridCol w:w="3600"/>
        <w:gridCol w:w="3690"/>
      </w:tblGrid>
      <w:tr w:rsidR="00DB0D5A" w:rsidRPr="00B906E5" w14:paraId="34727E28" w14:textId="77777777" w:rsidTr="00DB0D5A">
        <w:tc>
          <w:tcPr>
            <w:tcW w:w="3150" w:type="dxa"/>
            <w:vAlign w:val="center"/>
          </w:tcPr>
          <w:p w14:paraId="14931112" w14:textId="77777777" w:rsidR="00D462F4" w:rsidRPr="00B906E5" w:rsidRDefault="00D462F4" w:rsidP="00747DD4">
            <w:pPr>
              <w:jc w:val="center"/>
              <w:rPr>
                <w:rFonts w:ascii="Arial" w:hAnsi="Arial" w:cs="Arial"/>
                <w:sz w:val="20"/>
                <w:szCs w:val="20"/>
              </w:rPr>
            </w:pPr>
            <w:bookmarkStart w:id="0" w:name="_GoBack"/>
            <w:bookmarkEnd w:id="0"/>
            <w:r w:rsidRPr="00B906E5">
              <w:rPr>
                <w:rFonts w:ascii="Arial" w:hAnsi="Arial" w:cs="Arial"/>
                <w:sz w:val="20"/>
                <w:szCs w:val="20"/>
              </w:rPr>
              <w:t>Rubric Question</w:t>
            </w:r>
          </w:p>
        </w:tc>
        <w:tc>
          <w:tcPr>
            <w:tcW w:w="3600" w:type="dxa"/>
            <w:vAlign w:val="center"/>
          </w:tcPr>
          <w:p w14:paraId="69028F7E" w14:textId="77777777" w:rsidR="00D462F4" w:rsidRPr="00B906E5" w:rsidRDefault="00D462F4" w:rsidP="00747DD4">
            <w:pPr>
              <w:ind w:left="68"/>
              <w:jc w:val="center"/>
              <w:rPr>
                <w:rFonts w:ascii="Arial" w:hAnsi="Arial" w:cs="Arial"/>
                <w:sz w:val="20"/>
                <w:szCs w:val="20"/>
              </w:rPr>
            </w:pPr>
            <w:r w:rsidRPr="00B906E5">
              <w:rPr>
                <w:rFonts w:ascii="Arial" w:hAnsi="Arial" w:cs="Arial"/>
                <w:sz w:val="20"/>
                <w:szCs w:val="20"/>
              </w:rPr>
              <w:t>GE subareas or SLOs mapped</w:t>
            </w:r>
          </w:p>
        </w:tc>
        <w:tc>
          <w:tcPr>
            <w:tcW w:w="3690" w:type="dxa"/>
            <w:vAlign w:val="center"/>
          </w:tcPr>
          <w:p w14:paraId="2247B835" w14:textId="77777777" w:rsidR="00D462F4" w:rsidRPr="00B906E5" w:rsidRDefault="00D462F4" w:rsidP="00747DD4">
            <w:pPr>
              <w:ind w:left="-29"/>
              <w:jc w:val="center"/>
              <w:rPr>
                <w:rFonts w:ascii="Arial" w:hAnsi="Arial" w:cs="Arial"/>
                <w:sz w:val="20"/>
                <w:szCs w:val="20"/>
              </w:rPr>
            </w:pPr>
            <w:r w:rsidRPr="00B906E5">
              <w:rPr>
                <w:rFonts w:ascii="Arial" w:hAnsi="Arial" w:cs="Arial"/>
                <w:sz w:val="20"/>
                <w:szCs w:val="20"/>
              </w:rPr>
              <w:t>Comments</w:t>
            </w:r>
          </w:p>
        </w:tc>
      </w:tr>
      <w:tr w:rsidR="00DB0D5A" w:rsidRPr="00B906E5" w14:paraId="7CCB5C73" w14:textId="77777777" w:rsidTr="00DB0D5A">
        <w:tc>
          <w:tcPr>
            <w:tcW w:w="3150" w:type="dxa"/>
          </w:tcPr>
          <w:p w14:paraId="275E8126" w14:textId="77777777" w:rsidR="00D462F4" w:rsidRPr="00B906E5" w:rsidRDefault="00D462F4" w:rsidP="00747DD4">
            <w:pPr>
              <w:pStyle w:val="ListParagraph"/>
              <w:numPr>
                <w:ilvl w:val="0"/>
                <w:numId w:val="1"/>
              </w:numPr>
              <w:rPr>
                <w:rFonts w:ascii="Arial" w:hAnsi="Arial" w:cs="Arial"/>
                <w:sz w:val="20"/>
                <w:szCs w:val="20"/>
              </w:rPr>
            </w:pPr>
            <w:r w:rsidRPr="00B906E5">
              <w:rPr>
                <w:rFonts w:ascii="Arial" w:hAnsi="Arial" w:cs="Arial"/>
                <w:sz w:val="20"/>
                <w:szCs w:val="20"/>
              </w:rPr>
              <w:t>Does the course meet the description of the GE Subarea?</w:t>
            </w:r>
          </w:p>
        </w:tc>
        <w:tc>
          <w:tcPr>
            <w:tcW w:w="3600" w:type="dxa"/>
          </w:tcPr>
          <w:p w14:paraId="6F8D669E" w14:textId="207D1A05" w:rsidR="00D462F4" w:rsidRPr="00B906E5" w:rsidRDefault="00D025F2" w:rsidP="00747DD4">
            <w:pPr>
              <w:ind w:left="68"/>
              <w:rPr>
                <w:rFonts w:ascii="Arial" w:hAnsi="Arial" w:cs="Arial"/>
                <w:sz w:val="20"/>
                <w:szCs w:val="20"/>
              </w:rPr>
            </w:pPr>
            <w:r w:rsidRPr="00B906E5">
              <w:rPr>
                <w:rFonts w:ascii="Arial" w:hAnsi="Arial" w:cs="Arial"/>
                <w:sz w:val="20"/>
                <w:szCs w:val="20"/>
              </w:rPr>
              <w:t>B4 - (see full description above)</w:t>
            </w:r>
          </w:p>
        </w:tc>
        <w:tc>
          <w:tcPr>
            <w:tcW w:w="3690" w:type="dxa"/>
          </w:tcPr>
          <w:p w14:paraId="1EA6B71B" w14:textId="77777777" w:rsidR="00D462F4" w:rsidRPr="00B906E5" w:rsidRDefault="00D462F4" w:rsidP="00747DD4">
            <w:pPr>
              <w:ind w:left="-29"/>
              <w:rPr>
                <w:rFonts w:ascii="Arial" w:hAnsi="Arial" w:cs="Arial"/>
                <w:sz w:val="20"/>
                <w:szCs w:val="20"/>
              </w:rPr>
            </w:pPr>
          </w:p>
        </w:tc>
      </w:tr>
      <w:tr w:rsidR="00DB0D5A" w:rsidRPr="00B906E5" w14:paraId="375EB757" w14:textId="77777777" w:rsidTr="00DB0D5A">
        <w:trPr>
          <w:trHeight w:val="503"/>
        </w:trPr>
        <w:tc>
          <w:tcPr>
            <w:tcW w:w="3150" w:type="dxa"/>
            <w:vMerge w:val="restart"/>
          </w:tcPr>
          <w:p w14:paraId="20A69939" w14:textId="77777777" w:rsidR="00D462F4" w:rsidRPr="00B906E5" w:rsidRDefault="00D462F4" w:rsidP="00747DD4">
            <w:pPr>
              <w:pStyle w:val="ListParagraph"/>
              <w:numPr>
                <w:ilvl w:val="0"/>
                <w:numId w:val="1"/>
              </w:numPr>
              <w:rPr>
                <w:rFonts w:ascii="Arial" w:hAnsi="Arial" w:cs="Arial"/>
                <w:sz w:val="20"/>
                <w:szCs w:val="20"/>
              </w:rPr>
            </w:pPr>
            <w:r w:rsidRPr="00B906E5">
              <w:rPr>
                <w:rFonts w:ascii="Arial" w:hAnsi="Arial" w:cs="Arial"/>
                <w:color w:val="000000"/>
                <w:sz w:val="20"/>
                <w:szCs w:val="20"/>
              </w:rPr>
              <w:t>Does the course fully address the GE SLOs mapped to the subarea</w:t>
            </w:r>
            <w:r w:rsidRPr="00B906E5">
              <w:rPr>
                <w:rFonts w:ascii="Arial" w:hAnsi="Arial" w:cs="Arial"/>
                <w:sz w:val="20"/>
                <w:szCs w:val="20"/>
              </w:rPr>
              <w:t>?</w:t>
            </w:r>
          </w:p>
        </w:tc>
        <w:tc>
          <w:tcPr>
            <w:tcW w:w="3600" w:type="dxa"/>
          </w:tcPr>
          <w:p w14:paraId="3250D37C" w14:textId="77777777" w:rsidR="00D462F4" w:rsidRPr="00B906E5" w:rsidRDefault="00D462F4" w:rsidP="00747DD4">
            <w:pPr>
              <w:ind w:left="68"/>
              <w:rPr>
                <w:rFonts w:ascii="Arial" w:hAnsi="Arial" w:cs="Arial"/>
                <w:color w:val="000000"/>
                <w:sz w:val="20"/>
                <w:szCs w:val="20"/>
              </w:rPr>
            </w:pPr>
            <w:r w:rsidRPr="00B906E5">
              <w:rPr>
                <w:rFonts w:ascii="Arial" w:hAnsi="Arial" w:cs="Arial"/>
                <w:color w:val="000000"/>
                <w:sz w:val="20"/>
                <w:szCs w:val="20"/>
              </w:rPr>
              <w:t>1a – Write effectively</w:t>
            </w:r>
          </w:p>
        </w:tc>
        <w:tc>
          <w:tcPr>
            <w:tcW w:w="3690" w:type="dxa"/>
          </w:tcPr>
          <w:p w14:paraId="61CE033A" w14:textId="77777777" w:rsidR="00D462F4" w:rsidRPr="00B906E5" w:rsidRDefault="00D462F4" w:rsidP="00747DD4">
            <w:pPr>
              <w:ind w:left="-29"/>
              <w:rPr>
                <w:rFonts w:ascii="Arial" w:hAnsi="Arial" w:cs="Arial"/>
                <w:color w:val="000000"/>
                <w:sz w:val="20"/>
                <w:szCs w:val="20"/>
              </w:rPr>
            </w:pPr>
          </w:p>
        </w:tc>
      </w:tr>
      <w:tr w:rsidR="00DB0D5A" w:rsidRPr="00B906E5" w14:paraId="590BD874" w14:textId="77777777" w:rsidTr="00DB0D5A">
        <w:trPr>
          <w:trHeight w:val="503"/>
        </w:trPr>
        <w:tc>
          <w:tcPr>
            <w:tcW w:w="3150" w:type="dxa"/>
            <w:vMerge/>
          </w:tcPr>
          <w:p w14:paraId="47AC5454" w14:textId="77777777" w:rsidR="00D462F4" w:rsidRPr="00B906E5" w:rsidRDefault="00D462F4" w:rsidP="00747DD4">
            <w:pPr>
              <w:pStyle w:val="ListParagraph"/>
              <w:numPr>
                <w:ilvl w:val="0"/>
                <w:numId w:val="1"/>
              </w:numPr>
              <w:rPr>
                <w:rFonts w:ascii="Arial" w:hAnsi="Arial" w:cs="Arial"/>
                <w:color w:val="000000"/>
                <w:sz w:val="20"/>
                <w:szCs w:val="20"/>
              </w:rPr>
            </w:pPr>
          </w:p>
        </w:tc>
        <w:tc>
          <w:tcPr>
            <w:tcW w:w="3600" w:type="dxa"/>
          </w:tcPr>
          <w:p w14:paraId="392BFE8C" w14:textId="77777777" w:rsidR="00D462F4" w:rsidRPr="00B906E5" w:rsidRDefault="00D462F4" w:rsidP="00747DD4">
            <w:pPr>
              <w:ind w:left="68"/>
              <w:rPr>
                <w:rFonts w:ascii="Arial" w:hAnsi="Arial" w:cs="Arial"/>
                <w:color w:val="000000"/>
                <w:sz w:val="20"/>
                <w:szCs w:val="20"/>
              </w:rPr>
            </w:pPr>
            <w:r w:rsidRPr="00B906E5">
              <w:rPr>
                <w:rFonts w:ascii="Arial" w:hAnsi="Arial" w:cs="Arial"/>
                <w:color w:val="000000"/>
                <w:sz w:val="20"/>
                <w:szCs w:val="20"/>
              </w:rPr>
              <w:t>1e - Apply and communicate quantitative arguments using equations and graphical representations of data</w:t>
            </w:r>
          </w:p>
        </w:tc>
        <w:tc>
          <w:tcPr>
            <w:tcW w:w="3690" w:type="dxa"/>
          </w:tcPr>
          <w:p w14:paraId="67D10724" w14:textId="77777777" w:rsidR="00D462F4" w:rsidRPr="00B906E5" w:rsidRDefault="00D462F4" w:rsidP="00747DD4">
            <w:pPr>
              <w:ind w:left="-29"/>
              <w:rPr>
                <w:rFonts w:ascii="Arial" w:hAnsi="Arial" w:cs="Arial"/>
                <w:color w:val="000000"/>
                <w:sz w:val="20"/>
                <w:szCs w:val="20"/>
              </w:rPr>
            </w:pPr>
          </w:p>
        </w:tc>
      </w:tr>
      <w:tr w:rsidR="00DB0D5A" w:rsidRPr="00B906E5" w14:paraId="51F4EA23" w14:textId="77777777" w:rsidTr="00DB0D5A">
        <w:trPr>
          <w:trHeight w:val="521"/>
        </w:trPr>
        <w:tc>
          <w:tcPr>
            <w:tcW w:w="3150" w:type="dxa"/>
            <w:vMerge/>
          </w:tcPr>
          <w:p w14:paraId="367BB4F4" w14:textId="77777777" w:rsidR="00D462F4" w:rsidRPr="00B906E5" w:rsidRDefault="00D462F4" w:rsidP="00747DD4">
            <w:pPr>
              <w:pStyle w:val="ListParagraph"/>
              <w:numPr>
                <w:ilvl w:val="0"/>
                <w:numId w:val="1"/>
              </w:numPr>
              <w:rPr>
                <w:rFonts w:ascii="Arial" w:hAnsi="Arial" w:cs="Arial"/>
                <w:color w:val="000000"/>
                <w:sz w:val="20"/>
                <w:szCs w:val="20"/>
              </w:rPr>
            </w:pPr>
          </w:p>
        </w:tc>
        <w:tc>
          <w:tcPr>
            <w:tcW w:w="3600" w:type="dxa"/>
          </w:tcPr>
          <w:p w14:paraId="42D9D42D" w14:textId="77777777" w:rsidR="00D462F4" w:rsidRPr="00B906E5" w:rsidRDefault="00D462F4" w:rsidP="00DB0D5A">
            <w:pPr>
              <w:pStyle w:val="PlainText"/>
              <w:rPr>
                <w:rFonts w:ascii="Arial" w:hAnsi="Arial" w:cs="Arial"/>
                <w:color w:val="000000"/>
                <w:sz w:val="20"/>
                <w:szCs w:val="20"/>
              </w:rPr>
            </w:pPr>
            <w:r w:rsidRPr="00B906E5">
              <w:rPr>
                <w:rFonts w:ascii="Arial" w:hAnsi="Arial" w:cs="Arial"/>
                <w:color w:val="000000"/>
                <w:sz w:val="20"/>
                <w:szCs w:val="20"/>
              </w:rPr>
              <w:t xml:space="preserve">2a - </w:t>
            </w:r>
            <w:r w:rsidRPr="00B906E5">
              <w:rPr>
                <w:rFonts w:ascii="Arial" w:hAnsi="Arial" w:cs="Arial"/>
                <w:sz w:val="20"/>
                <w:szCs w:val="20"/>
              </w:rPr>
              <w:t>Apply scientific methods and models to draw quantitative and qualitative conclusions about the physical and natural world</w:t>
            </w:r>
          </w:p>
        </w:tc>
        <w:tc>
          <w:tcPr>
            <w:tcW w:w="3690" w:type="dxa"/>
          </w:tcPr>
          <w:p w14:paraId="39AD8C87" w14:textId="77777777" w:rsidR="00D462F4" w:rsidRPr="00B906E5" w:rsidRDefault="00D462F4" w:rsidP="00747DD4">
            <w:pPr>
              <w:ind w:left="-29"/>
              <w:rPr>
                <w:rFonts w:ascii="Arial" w:hAnsi="Arial" w:cs="Arial"/>
                <w:color w:val="000000"/>
                <w:sz w:val="20"/>
                <w:szCs w:val="20"/>
              </w:rPr>
            </w:pPr>
          </w:p>
        </w:tc>
      </w:tr>
      <w:tr w:rsidR="00DB0D5A" w:rsidRPr="00B906E5" w14:paraId="45AD68A7" w14:textId="77777777" w:rsidTr="00DB0D5A">
        <w:trPr>
          <w:trHeight w:val="458"/>
        </w:trPr>
        <w:tc>
          <w:tcPr>
            <w:tcW w:w="3150" w:type="dxa"/>
            <w:vMerge/>
          </w:tcPr>
          <w:p w14:paraId="3BC72B6A" w14:textId="77777777" w:rsidR="00D462F4" w:rsidRPr="00B906E5" w:rsidRDefault="00D462F4" w:rsidP="00747DD4">
            <w:pPr>
              <w:pStyle w:val="ListParagraph"/>
              <w:numPr>
                <w:ilvl w:val="0"/>
                <w:numId w:val="1"/>
              </w:numPr>
              <w:rPr>
                <w:rFonts w:ascii="Arial" w:hAnsi="Arial" w:cs="Arial"/>
                <w:color w:val="000000"/>
                <w:sz w:val="20"/>
                <w:szCs w:val="20"/>
              </w:rPr>
            </w:pPr>
          </w:p>
        </w:tc>
        <w:tc>
          <w:tcPr>
            <w:tcW w:w="3600" w:type="dxa"/>
          </w:tcPr>
          <w:p w14:paraId="62D94E28" w14:textId="77777777" w:rsidR="00D462F4" w:rsidRPr="00B906E5" w:rsidRDefault="00D462F4" w:rsidP="00747DD4">
            <w:pPr>
              <w:pStyle w:val="PlainText"/>
              <w:rPr>
                <w:rFonts w:ascii="Arial" w:hAnsi="Arial" w:cs="Arial"/>
                <w:sz w:val="20"/>
                <w:szCs w:val="20"/>
              </w:rPr>
            </w:pPr>
            <w:r w:rsidRPr="00B906E5">
              <w:rPr>
                <w:rFonts w:ascii="Arial" w:hAnsi="Arial" w:cs="Arial"/>
                <w:color w:val="000000"/>
                <w:sz w:val="20"/>
                <w:szCs w:val="20"/>
              </w:rPr>
              <w:t xml:space="preserve">4b - </w:t>
            </w:r>
            <w:r w:rsidRPr="00B906E5">
              <w:rPr>
                <w:rFonts w:ascii="Arial" w:hAnsi="Arial" w:cs="Arial"/>
                <w:sz w:val="20"/>
                <w:szCs w:val="20"/>
              </w:rPr>
              <w:t xml:space="preserve">Demonstrate activities, techniques, or behaviors that promote intellectual or </w:t>
            </w:r>
          </w:p>
          <w:p w14:paraId="45984DC4" w14:textId="77777777" w:rsidR="00D462F4" w:rsidRPr="00B906E5" w:rsidRDefault="00D462F4" w:rsidP="00747DD4">
            <w:pPr>
              <w:ind w:left="68"/>
              <w:rPr>
                <w:rFonts w:ascii="Arial" w:hAnsi="Arial" w:cs="Arial"/>
                <w:color w:val="000000"/>
                <w:sz w:val="20"/>
                <w:szCs w:val="20"/>
              </w:rPr>
            </w:pPr>
            <w:r w:rsidRPr="00B906E5">
              <w:rPr>
                <w:rFonts w:ascii="Arial" w:hAnsi="Arial" w:cs="Arial"/>
                <w:sz w:val="20"/>
                <w:szCs w:val="20"/>
              </w:rPr>
              <w:t>cultural growth</w:t>
            </w:r>
          </w:p>
        </w:tc>
        <w:tc>
          <w:tcPr>
            <w:tcW w:w="3690" w:type="dxa"/>
          </w:tcPr>
          <w:p w14:paraId="7EEC2DFE" w14:textId="77777777" w:rsidR="00D462F4" w:rsidRPr="00B906E5" w:rsidRDefault="00D462F4" w:rsidP="00747DD4">
            <w:pPr>
              <w:ind w:left="-29"/>
              <w:rPr>
                <w:rFonts w:ascii="Arial" w:hAnsi="Arial" w:cs="Arial"/>
                <w:color w:val="000000"/>
                <w:sz w:val="20"/>
                <w:szCs w:val="20"/>
              </w:rPr>
            </w:pPr>
          </w:p>
        </w:tc>
      </w:tr>
      <w:tr w:rsidR="00DB0D5A" w:rsidRPr="00B906E5" w14:paraId="76852A5F" w14:textId="77777777" w:rsidTr="00DB0D5A">
        <w:tc>
          <w:tcPr>
            <w:tcW w:w="3150" w:type="dxa"/>
          </w:tcPr>
          <w:p w14:paraId="46E352FB" w14:textId="77777777" w:rsidR="00D462F4" w:rsidRPr="00B906E5" w:rsidRDefault="00D462F4" w:rsidP="00747DD4">
            <w:pPr>
              <w:pStyle w:val="ListParagraph"/>
              <w:numPr>
                <w:ilvl w:val="0"/>
                <w:numId w:val="1"/>
              </w:numPr>
              <w:rPr>
                <w:rFonts w:ascii="Arial" w:hAnsi="Arial" w:cs="Arial"/>
                <w:sz w:val="20"/>
                <w:szCs w:val="20"/>
              </w:rPr>
            </w:pPr>
            <w:r w:rsidRPr="00B906E5">
              <w:rPr>
                <w:rFonts w:ascii="Arial" w:hAnsi="Arial" w:cs="Arial"/>
                <w:sz w:val="20"/>
                <w:szCs w:val="20"/>
              </w:rPr>
              <w:t xml:space="preserve">Is there a meaningful writing component? </w:t>
            </w:r>
          </w:p>
        </w:tc>
        <w:tc>
          <w:tcPr>
            <w:tcW w:w="3600" w:type="dxa"/>
          </w:tcPr>
          <w:p w14:paraId="19F33377" w14:textId="77777777" w:rsidR="00D462F4" w:rsidRPr="00B906E5" w:rsidRDefault="00D462F4" w:rsidP="00747DD4">
            <w:pPr>
              <w:ind w:left="68"/>
              <w:rPr>
                <w:rFonts w:ascii="Arial" w:hAnsi="Arial" w:cs="Arial"/>
                <w:sz w:val="20"/>
                <w:szCs w:val="20"/>
              </w:rPr>
            </w:pPr>
          </w:p>
        </w:tc>
        <w:tc>
          <w:tcPr>
            <w:tcW w:w="3690" w:type="dxa"/>
          </w:tcPr>
          <w:p w14:paraId="220A0C43" w14:textId="77777777" w:rsidR="00D462F4" w:rsidRPr="00B906E5" w:rsidRDefault="00D462F4" w:rsidP="00747DD4">
            <w:pPr>
              <w:ind w:left="-29"/>
              <w:rPr>
                <w:rFonts w:ascii="Arial" w:hAnsi="Arial" w:cs="Arial"/>
                <w:sz w:val="20"/>
                <w:szCs w:val="20"/>
              </w:rPr>
            </w:pPr>
          </w:p>
        </w:tc>
      </w:tr>
      <w:tr w:rsidR="00DB0D5A" w:rsidRPr="00B906E5" w14:paraId="5224AFA3" w14:textId="77777777" w:rsidTr="00DB0D5A">
        <w:tc>
          <w:tcPr>
            <w:tcW w:w="3150" w:type="dxa"/>
          </w:tcPr>
          <w:p w14:paraId="6DB77C04" w14:textId="77777777" w:rsidR="00D462F4" w:rsidRPr="00B906E5" w:rsidRDefault="00D462F4" w:rsidP="00747DD4">
            <w:pPr>
              <w:pStyle w:val="ListParagraph"/>
              <w:numPr>
                <w:ilvl w:val="0"/>
                <w:numId w:val="1"/>
              </w:numPr>
              <w:rPr>
                <w:rFonts w:ascii="Arial" w:hAnsi="Arial" w:cs="Arial"/>
                <w:sz w:val="20"/>
                <w:szCs w:val="20"/>
              </w:rPr>
            </w:pPr>
            <w:r w:rsidRPr="00B906E5">
              <w:rPr>
                <w:rFonts w:ascii="Arial" w:hAnsi="Arial" w:cs="Arial"/>
                <w:sz w:val="20"/>
                <w:szCs w:val="20"/>
              </w:rPr>
              <w:t>Is the mapping of methods of evaluation to the GE SLOs reasonable</w:t>
            </w:r>
          </w:p>
        </w:tc>
        <w:tc>
          <w:tcPr>
            <w:tcW w:w="3600" w:type="dxa"/>
          </w:tcPr>
          <w:p w14:paraId="331D88E2" w14:textId="77777777" w:rsidR="00D462F4" w:rsidRPr="00B906E5" w:rsidRDefault="00D462F4" w:rsidP="00747DD4">
            <w:pPr>
              <w:ind w:left="68"/>
              <w:rPr>
                <w:rFonts w:ascii="Arial" w:hAnsi="Arial" w:cs="Arial"/>
                <w:sz w:val="20"/>
                <w:szCs w:val="20"/>
              </w:rPr>
            </w:pPr>
          </w:p>
        </w:tc>
        <w:tc>
          <w:tcPr>
            <w:tcW w:w="3690" w:type="dxa"/>
          </w:tcPr>
          <w:p w14:paraId="0F192171" w14:textId="77777777" w:rsidR="00D462F4" w:rsidRPr="00B906E5" w:rsidRDefault="00D462F4" w:rsidP="00747DD4">
            <w:pPr>
              <w:ind w:left="-29"/>
              <w:rPr>
                <w:rFonts w:ascii="Arial" w:hAnsi="Arial" w:cs="Arial"/>
                <w:sz w:val="20"/>
                <w:szCs w:val="20"/>
              </w:rPr>
            </w:pPr>
          </w:p>
        </w:tc>
      </w:tr>
    </w:tbl>
    <w:p w14:paraId="6472D3E8" w14:textId="77777777" w:rsidR="00D462F4" w:rsidRPr="00B906E5" w:rsidRDefault="00D462F4" w:rsidP="00D462F4">
      <w:pPr>
        <w:pStyle w:val="ListParagraph"/>
        <w:rPr>
          <w:rFonts w:ascii="Arial" w:hAnsi="Arial" w:cs="Arial"/>
          <w:sz w:val="20"/>
          <w:szCs w:val="20"/>
        </w:rPr>
      </w:pPr>
    </w:p>
    <w:p w14:paraId="5C648020" w14:textId="77777777" w:rsidR="003A26AE" w:rsidRDefault="003A26AE" w:rsidP="003A26AE">
      <w:pPr>
        <w:widowControl w:val="0"/>
        <w:autoSpaceDE w:val="0"/>
        <w:autoSpaceDN w:val="0"/>
        <w:adjustRightInd w:val="0"/>
        <w:spacing w:after="240" w:line="240" w:lineRule="auto"/>
        <w:rPr>
          <w:rFonts w:ascii="Arial" w:eastAsiaTheme="minorEastAsia" w:hAnsi="Arial" w:cs="Calibri"/>
          <w:b/>
          <w:sz w:val="18"/>
          <w:szCs w:val="18"/>
        </w:rPr>
      </w:pPr>
      <w:r w:rsidRPr="00D942ED">
        <w:rPr>
          <w:rFonts w:ascii="Arial" w:eastAsiaTheme="minorEastAsia" w:hAnsi="Arial" w:cs="Calibri"/>
          <w:b/>
          <w:sz w:val="18"/>
          <w:szCs w:val="18"/>
        </w:rPr>
        <w:t>Review Result: A= Approve (No discussion at Senate), AF = Approved &amp; Forward to Senate, IC = Incomplete (return to originator), R = Reject (return to originator)</w:t>
      </w:r>
    </w:p>
    <w:tbl>
      <w:tblPr>
        <w:tblStyle w:val="TableGrid"/>
        <w:tblW w:w="0" w:type="auto"/>
        <w:tblLook w:val="04A0" w:firstRow="1" w:lastRow="0" w:firstColumn="1" w:lastColumn="0" w:noHBand="0" w:noVBand="1"/>
      </w:tblPr>
      <w:tblGrid>
        <w:gridCol w:w="1192"/>
        <w:gridCol w:w="1192"/>
        <w:gridCol w:w="1192"/>
        <w:gridCol w:w="1192"/>
        <w:gridCol w:w="1192"/>
        <w:gridCol w:w="1192"/>
        <w:gridCol w:w="1192"/>
        <w:gridCol w:w="1192"/>
        <w:gridCol w:w="1192"/>
      </w:tblGrid>
      <w:tr w:rsidR="003A26AE" w14:paraId="420DC385" w14:textId="77777777" w:rsidTr="00B32BE7">
        <w:tc>
          <w:tcPr>
            <w:tcW w:w="1192" w:type="dxa"/>
          </w:tcPr>
          <w:p w14:paraId="16942C5C"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AG (S)</w:t>
            </w:r>
          </w:p>
        </w:tc>
        <w:tc>
          <w:tcPr>
            <w:tcW w:w="1192" w:type="dxa"/>
          </w:tcPr>
          <w:p w14:paraId="4D768C01"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CBA (S)</w:t>
            </w:r>
          </w:p>
        </w:tc>
        <w:tc>
          <w:tcPr>
            <w:tcW w:w="1192" w:type="dxa"/>
          </w:tcPr>
          <w:p w14:paraId="57E5E03F"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CLASS (S)</w:t>
            </w:r>
          </w:p>
        </w:tc>
        <w:tc>
          <w:tcPr>
            <w:tcW w:w="1192" w:type="dxa"/>
          </w:tcPr>
          <w:p w14:paraId="28D8C195"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CCHM (S)</w:t>
            </w:r>
          </w:p>
        </w:tc>
        <w:tc>
          <w:tcPr>
            <w:tcW w:w="1192" w:type="dxa"/>
          </w:tcPr>
          <w:p w14:paraId="1E872BCD"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CEIS (S)</w:t>
            </w:r>
          </w:p>
        </w:tc>
        <w:tc>
          <w:tcPr>
            <w:tcW w:w="1192" w:type="dxa"/>
          </w:tcPr>
          <w:p w14:paraId="42A81391"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ENR (S)</w:t>
            </w:r>
          </w:p>
        </w:tc>
        <w:tc>
          <w:tcPr>
            <w:tcW w:w="1192" w:type="dxa"/>
          </w:tcPr>
          <w:p w14:paraId="45036F14"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ENV(S)</w:t>
            </w:r>
          </w:p>
        </w:tc>
        <w:tc>
          <w:tcPr>
            <w:tcW w:w="1192" w:type="dxa"/>
          </w:tcPr>
          <w:p w14:paraId="2FC91E18"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LIB (S)</w:t>
            </w:r>
          </w:p>
        </w:tc>
        <w:tc>
          <w:tcPr>
            <w:tcW w:w="1192" w:type="dxa"/>
          </w:tcPr>
          <w:p w14:paraId="519451AA" w14:textId="77777777" w:rsidR="003A26AE" w:rsidRDefault="003A26AE"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SCI (S)</w:t>
            </w:r>
          </w:p>
        </w:tc>
      </w:tr>
      <w:tr w:rsidR="003A26AE" w14:paraId="34C313D5" w14:textId="77777777" w:rsidTr="00B32BE7">
        <w:tc>
          <w:tcPr>
            <w:tcW w:w="1192" w:type="dxa"/>
          </w:tcPr>
          <w:p w14:paraId="25129A36"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55B2DBBD"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9A4BE7F"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502CEA00"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619D000"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074D6D37"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06388F5"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589FEC3"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59FF5DEC" w14:textId="77777777" w:rsidR="003A26AE" w:rsidRDefault="003A26AE" w:rsidP="00B32BE7">
            <w:pPr>
              <w:widowControl w:val="0"/>
              <w:autoSpaceDE w:val="0"/>
              <w:autoSpaceDN w:val="0"/>
              <w:adjustRightInd w:val="0"/>
              <w:spacing w:after="240" w:line="240" w:lineRule="auto"/>
              <w:rPr>
                <w:rFonts w:ascii="Arial" w:eastAsiaTheme="minorEastAsia" w:hAnsi="Arial" w:cs="Times"/>
                <w:b/>
                <w:sz w:val="18"/>
                <w:szCs w:val="18"/>
              </w:rPr>
            </w:pPr>
          </w:p>
        </w:tc>
      </w:tr>
    </w:tbl>
    <w:p w14:paraId="3ADC97D7" w14:textId="77777777" w:rsidR="003A26AE" w:rsidRDefault="003A26AE" w:rsidP="003A26AE">
      <w:pPr>
        <w:widowControl w:val="0"/>
        <w:autoSpaceDE w:val="0"/>
        <w:autoSpaceDN w:val="0"/>
        <w:adjustRightInd w:val="0"/>
        <w:spacing w:after="240" w:line="240" w:lineRule="auto"/>
        <w:rPr>
          <w:rFonts w:ascii="Arial" w:eastAsiaTheme="minorEastAsia" w:hAnsi="Arial" w:cs="Calibri"/>
          <w:sz w:val="18"/>
          <w:szCs w:val="18"/>
        </w:rPr>
      </w:pPr>
      <w:r w:rsidRPr="00D942ED">
        <w:rPr>
          <w:rFonts w:ascii="Arial" w:eastAsiaTheme="minorEastAsia" w:hAnsi="Arial" w:cs="Times"/>
          <w:b/>
          <w:bCs/>
          <w:sz w:val="18"/>
          <w:szCs w:val="18"/>
        </w:rPr>
        <w:t xml:space="preserve">Expanded Course Outline Approval Checklist                     </w:t>
      </w:r>
      <w:r w:rsidRPr="00D942ED">
        <w:rPr>
          <w:rFonts w:ascii="Arial" w:eastAsiaTheme="minorEastAsia" w:hAnsi="Arial" w:cs="Calibri"/>
          <w:sz w:val="18"/>
          <w:szCs w:val="18"/>
        </w:rPr>
        <w:t>S = Subcommittee Committee Member</w:t>
      </w:r>
    </w:p>
    <w:p w14:paraId="4111A144" w14:textId="77777777" w:rsidR="003A26AE" w:rsidRDefault="003A26AE" w:rsidP="00DB0D5A">
      <w:pPr>
        <w:widowControl w:val="0"/>
        <w:autoSpaceDE w:val="0"/>
        <w:autoSpaceDN w:val="0"/>
        <w:adjustRightInd w:val="0"/>
        <w:spacing w:after="240" w:line="240" w:lineRule="auto"/>
        <w:rPr>
          <w:rFonts w:ascii="Arial" w:eastAsiaTheme="minorEastAsia" w:hAnsi="Arial" w:cs="Arial"/>
          <w:b/>
          <w:sz w:val="20"/>
          <w:szCs w:val="20"/>
        </w:rPr>
      </w:pPr>
    </w:p>
    <w:sectPr w:rsidR="003A26AE" w:rsidSect="00DB0D5A">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96776"/>
    <w:multiLevelType w:val="hybridMultilevel"/>
    <w:tmpl w:val="EB4C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2F4"/>
    <w:rsid w:val="00033BE5"/>
    <w:rsid w:val="00036163"/>
    <w:rsid w:val="000B2FB1"/>
    <w:rsid w:val="001943C4"/>
    <w:rsid w:val="003A26AE"/>
    <w:rsid w:val="005A2CE4"/>
    <w:rsid w:val="005C02A8"/>
    <w:rsid w:val="006307C1"/>
    <w:rsid w:val="00A31CDA"/>
    <w:rsid w:val="00B906E5"/>
    <w:rsid w:val="00C0723F"/>
    <w:rsid w:val="00CD6EE2"/>
    <w:rsid w:val="00D025F2"/>
    <w:rsid w:val="00D462F4"/>
    <w:rsid w:val="00DB0D5A"/>
    <w:rsid w:val="00FF16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32A33"/>
  <w14:defaultImageDpi w14:val="300"/>
  <w15:docId w15:val="{D2FDFBC1-A3FB-4ABE-947A-423F5222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2F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F4"/>
    <w:pPr>
      <w:ind w:left="720"/>
      <w:contextualSpacing/>
    </w:pPr>
  </w:style>
  <w:style w:type="table" w:styleId="TableGrid">
    <w:name w:val="Table Grid"/>
    <w:basedOn w:val="TableNormal"/>
    <w:uiPriority w:val="59"/>
    <w:rsid w:val="00D462F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462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62F4"/>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1405</Characters>
  <Application>Microsoft Office Word</Application>
  <DocSecurity>0</DocSecurity>
  <Lines>11</Lines>
  <Paragraphs>3</Paragraphs>
  <ScaleCrop>false</ScaleCrop>
  <Company>Cal Poly Pomona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Mahmood Ibrahim</cp:lastModifiedBy>
  <cp:revision>11</cp:revision>
  <dcterms:created xsi:type="dcterms:W3CDTF">2016-03-03T21:16:00Z</dcterms:created>
  <dcterms:modified xsi:type="dcterms:W3CDTF">2018-09-29T01:02:00Z</dcterms:modified>
</cp:coreProperties>
</file>