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E0B7" w14:textId="0F725F7C" w:rsidR="00067CE6" w:rsidRDefault="00067CE6" w:rsidP="00067CE6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F3777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07C91" w:rsidRPr="00AA3B08">
        <w:rPr>
          <w:b/>
          <w:sz w:val="32"/>
          <w:szCs w:val="32"/>
        </w:rPr>
        <w:t>B5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4DF374F2" w14:textId="77777777" w:rsidR="00067CE6" w:rsidRPr="00D0510C" w:rsidRDefault="00067CE6" w:rsidP="00067CE6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D0510C">
        <w:rPr>
          <w:rFonts w:ascii="Arial" w:hAnsi="Arial" w:cs="Arial"/>
          <w:sz w:val="20"/>
          <w:szCs w:val="20"/>
        </w:rPr>
        <w:t xml:space="preserve">Reviewer’s Name: </w:t>
      </w:r>
    </w:p>
    <w:p w14:paraId="0DD81FE5" w14:textId="77777777" w:rsidR="009B4EBF" w:rsidRPr="00D0510C" w:rsidRDefault="009B4EBF" w:rsidP="009B4EBF">
      <w:pPr>
        <w:spacing w:after="0" w:line="260" w:lineRule="exact"/>
        <w:ind w:right="72"/>
        <w:rPr>
          <w:rFonts w:ascii="Arial" w:hAnsi="Arial" w:cs="Arial"/>
          <w:sz w:val="20"/>
          <w:szCs w:val="20"/>
        </w:rPr>
      </w:pPr>
      <w:r w:rsidRPr="00D0510C">
        <w:rPr>
          <w:rFonts w:ascii="Arial" w:eastAsia="Times New Roman" w:hAnsi="Arial" w:cs="Arial"/>
          <w:b/>
          <w:sz w:val="20"/>
          <w:szCs w:val="20"/>
        </w:rPr>
        <w:t>B5:</w:t>
      </w:r>
      <w:r w:rsidRPr="00D0510C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b/>
          <w:sz w:val="20"/>
          <w:szCs w:val="20"/>
        </w:rPr>
        <w:t>Science</w:t>
      </w:r>
      <w:r w:rsidRPr="00D0510C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b/>
          <w:sz w:val="20"/>
          <w:szCs w:val="20"/>
        </w:rPr>
        <w:t>and</w:t>
      </w:r>
      <w:r w:rsidRPr="00D0510C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b/>
          <w:sz w:val="20"/>
          <w:szCs w:val="20"/>
        </w:rPr>
        <w:t>Technology</w:t>
      </w:r>
      <w:r w:rsidRPr="00D0510C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b/>
          <w:sz w:val="20"/>
          <w:szCs w:val="20"/>
        </w:rPr>
        <w:t>Synthesis</w:t>
      </w:r>
    </w:p>
    <w:p w14:paraId="374C402D" w14:textId="77777777" w:rsidR="00383BA4" w:rsidRPr="00D0510C" w:rsidRDefault="009B4EBF" w:rsidP="009B4EBF">
      <w:pPr>
        <w:spacing w:before="4" w:after="0" w:line="260" w:lineRule="exact"/>
        <w:ind w:right="72"/>
        <w:rPr>
          <w:rFonts w:ascii="Arial" w:eastAsia="Times New Roman" w:hAnsi="Arial" w:cs="Arial"/>
          <w:sz w:val="20"/>
          <w:szCs w:val="20"/>
        </w:rPr>
      </w:pPr>
      <w:r w:rsidRPr="00D0510C">
        <w:rPr>
          <w:rFonts w:ascii="Arial" w:eastAsia="Times New Roman" w:hAnsi="Arial" w:cs="Arial"/>
          <w:sz w:val="20"/>
          <w:szCs w:val="20"/>
        </w:rPr>
        <w:t>Courses in this area shall deal both with the relationship between science, technology, and civilization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and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with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the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effect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science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and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technology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have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on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culture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and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human</w:t>
      </w:r>
      <w:r w:rsidRPr="00D0510C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values.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Synthesis courses in this area are essentially integrative in nature, incorporating the application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and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generalization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of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basic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scientific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or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quantitative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knowledge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from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the</w:t>
      </w:r>
      <w:r w:rsidRPr="00D0510C">
        <w:rPr>
          <w:rFonts w:ascii="Arial" w:hAnsi="Arial" w:cs="Arial"/>
          <w:sz w:val="20"/>
          <w:szCs w:val="20"/>
        </w:rPr>
        <w:t xml:space="preserve"> </w:t>
      </w:r>
      <w:r w:rsidRPr="00D0510C">
        <w:rPr>
          <w:rFonts w:ascii="Arial" w:eastAsia="Times New Roman" w:hAnsi="Arial" w:cs="Arial"/>
          <w:sz w:val="20"/>
          <w:szCs w:val="20"/>
        </w:rPr>
        <w:t>foundational courses to real world or practical problems</w:t>
      </w:r>
      <w:r w:rsidR="00AA1DE9" w:rsidRPr="00D0510C">
        <w:rPr>
          <w:rFonts w:ascii="Arial" w:eastAsia="Times New Roman" w:hAnsi="Arial" w:cs="Arial"/>
          <w:sz w:val="20"/>
          <w:szCs w:val="20"/>
        </w:rPr>
        <w:t xml:space="preserve">. </w:t>
      </w:r>
      <w:r w:rsidR="00AA1DE9" w:rsidRPr="00D0510C">
        <w:rPr>
          <w:rFonts w:ascii="Arial" w:hAnsi="Arial" w:cs="Arial"/>
          <w:sz w:val="20"/>
          <w:szCs w:val="20"/>
        </w:rPr>
        <w:t xml:space="preserve">The expanded course outline for courses proposed for this area must clearly indicate an integration of themes and issues within scientific inquiry, quantitative reasoning, and/or technology. </w:t>
      </w:r>
      <w:r w:rsidR="00AA1DE9" w:rsidRPr="00D0510C">
        <w:rPr>
          <w:rFonts w:ascii="Arial" w:eastAsia="Times New Roman" w:hAnsi="Arial" w:cs="Arial"/>
          <w:sz w:val="20"/>
          <w:szCs w:val="20"/>
        </w:rPr>
        <w:t>(Also, s</w:t>
      </w:r>
      <w:r w:rsidR="00B31FC8" w:rsidRPr="00D0510C">
        <w:rPr>
          <w:rFonts w:ascii="Arial" w:eastAsia="Times New Roman" w:hAnsi="Arial" w:cs="Arial"/>
          <w:sz w:val="20"/>
          <w:szCs w:val="20"/>
        </w:rPr>
        <w:t xml:space="preserve">ee </w:t>
      </w:r>
      <w:r w:rsidR="00AA1DE9" w:rsidRPr="00D0510C">
        <w:rPr>
          <w:rFonts w:ascii="Arial" w:eastAsia="Times New Roman" w:hAnsi="Arial" w:cs="Arial"/>
          <w:sz w:val="20"/>
          <w:szCs w:val="20"/>
        </w:rPr>
        <w:t>Guidelines for Upper Division</w:t>
      </w:r>
      <w:r w:rsidR="00B31FC8" w:rsidRPr="00D0510C">
        <w:rPr>
          <w:rFonts w:ascii="Arial" w:eastAsia="Times New Roman" w:hAnsi="Arial" w:cs="Arial"/>
          <w:sz w:val="20"/>
          <w:szCs w:val="20"/>
        </w:rPr>
        <w:t xml:space="preserve"> Synthesis Courses)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611"/>
        <w:gridCol w:w="3409"/>
      </w:tblGrid>
      <w:tr w:rsidR="00F84697" w:rsidRPr="00D0510C" w14:paraId="327C9468" w14:textId="77777777" w:rsidTr="00F34E12">
        <w:tc>
          <w:tcPr>
            <w:tcW w:w="3330" w:type="dxa"/>
            <w:vAlign w:val="center"/>
          </w:tcPr>
          <w:p w14:paraId="0346C9BB" w14:textId="77777777" w:rsidR="00F84697" w:rsidRPr="00D0510C" w:rsidRDefault="00F84697" w:rsidP="00A0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3611" w:type="dxa"/>
            <w:vAlign w:val="center"/>
          </w:tcPr>
          <w:p w14:paraId="4DB5B412" w14:textId="77777777" w:rsidR="00F84697" w:rsidRPr="00D0510C" w:rsidRDefault="00F84697" w:rsidP="00A0687D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3409" w:type="dxa"/>
            <w:vAlign w:val="center"/>
          </w:tcPr>
          <w:p w14:paraId="4EC9E5AA" w14:textId="77777777" w:rsidR="00F84697" w:rsidRPr="00D0510C" w:rsidRDefault="00F84697" w:rsidP="00A0687D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0129D2" w:rsidRPr="00D0510C" w14:paraId="1F87A178" w14:textId="77777777" w:rsidTr="000129D2">
        <w:trPr>
          <w:trHeight w:val="467"/>
        </w:trPr>
        <w:tc>
          <w:tcPr>
            <w:tcW w:w="3330" w:type="dxa"/>
            <w:vMerge w:val="restart"/>
          </w:tcPr>
          <w:p w14:paraId="705637F7" w14:textId="77777777" w:rsidR="000129D2" w:rsidRPr="00D0510C" w:rsidRDefault="000129D2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3611" w:type="dxa"/>
          </w:tcPr>
          <w:p w14:paraId="36ADE4EF" w14:textId="3711A01B" w:rsidR="000129D2" w:rsidRPr="00D0510C" w:rsidRDefault="000129D2" w:rsidP="006C1C17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Meets th</w:t>
            </w:r>
            <w:r w:rsidR="006E1FC0">
              <w:rPr>
                <w:rFonts w:ascii="Arial" w:hAnsi="Arial" w:cs="Arial"/>
                <w:sz w:val="20"/>
                <w:szCs w:val="20"/>
              </w:rPr>
              <w:t>e description of the GE Subarea B5 (above)</w:t>
            </w:r>
          </w:p>
        </w:tc>
        <w:tc>
          <w:tcPr>
            <w:tcW w:w="3409" w:type="dxa"/>
          </w:tcPr>
          <w:p w14:paraId="4834755F" w14:textId="77777777" w:rsidR="000129D2" w:rsidRPr="00D0510C" w:rsidRDefault="000129D2" w:rsidP="006C1C1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D2" w:rsidRPr="00D0510C" w14:paraId="72FDA7FC" w14:textId="77777777" w:rsidTr="000129D2">
        <w:trPr>
          <w:trHeight w:val="588"/>
        </w:trPr>
        <w:tc>
          <w:tcPr>
            <w:tcW w:w="3330" w:type="dxa"/>
            <w:vMerge/>
          </w:tcPr>
          <w:p w14:paraId="314A37E9" w14:textId="77777777" w:rsidR="000129D2" w:rsidRPr="00D0510C" w:rsidRDefault="000129D2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074FABC8" w14:textId="3F8799EF" w:rsidR="000129D2" w:rsidRPr="00D0510C" w:rsidRDefault="000129D2" w:rsidP="000129D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Meets Guidelines for GE Upper Division Synthesis Courses</w:t>
            </w:r>
          </w:p>
        </w:tc>
        <w:tc>
          <w:tcPr>
            <w:tcW w:w="3409" w:type="dxa"/>
          </w:tcPr>
          <w:p w14:paraId="167DCBBC" w14:textId="77777777" w:rsidR="000129D2" w:rsidRPr="00D0510C" w:rsidRDefault="000129D2" w:rsidP="006C1C1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D2" w:rsidRPr="00D0510C" w14:paraId="0D7C4BEB" w14:textId="77777777" w:rsidTr="000129D2">
        <w:trPr>
          <w:trHeight w:val="539"/>
        </w:trPr>
        <w:tc>
          <w:tcPr>
            <w:tcW w:w="3330" w:type="dxa"/>
            <w:vMerge/>
          </w:tcPr>
          <w:p w14:paraId="402686F7" w14:textId="77777777" w:rsidR="000129D2" w:rsidRPr="00D0510C" w:rsidRDefault="000129D2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21148EB8" w14:textId="472DB415" w:rsidR="000129D2" w:rsidRPr="00D0510C" w:rsidRDefault="000129D2" w:rsidP="000129D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Will develop higher-order cognitive skills.</w:t>
            </w:r>
          </w:p>
        </w:tc>
        <w:tc>
          <w:tcPr>
            <w:tcW w:w="3409" w:type="dxa"/>
          </w:tcPr>
          <w:p w14:paraId="2CB3EC48" w14:textId="77777777" w:rsidR="000129D2" w:rsidRPr="00D0510C" w:rsidRDefault="000129D2" w:rsidP="006C1C1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17" w:rsidRPr="00D0510C" w14:paraId="75927C9F" w14:textId="77777777" w:rsidTr="00F34E12">
        <w:trPr>
          <w:trHeight w:val="503"/>
        </w:trPr>
        <w:tc>
          <w:tcPr>
            <w:tcW w:w="3330" w:type="dxa"/>
            <w:vMerge w:val="restart"/>
          </w:tcPr>
          <w:p w14:paraId="082273B3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Pr="00D0510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11" w:type="dxa"/>
          </w:tcPr>
          <w:p w14:paraId="2CBD44F6" w14:textId="77777777" w:rsidR="006C1C17" w:rsidRPr="00D0510C" w:rsidRDefault="006C1C17" w:rsidP="006C1C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10C">
              <w:rPr>
                <w:rFonts w:ascii="Arial" w:hAnsi="Arial" w:cs="Arial"/>
                <w:color w:val="000000"/>
                <w:sz w:val="20"/>
                <w:szCs w:val="20"/>
              </w:rPr>
              <w:t>1a – Write effectively</w:t>
            </w:r>
          </w:p>
        </w:tc>
        <w:tc>
          <w:tcPr>
            <w:tcW w:w="3409" w:type="dxa"/>
          </w:tcPr>
          <w:p w14:paraId="740B6E47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C17" w:rsidRPr="00D0510C" w14:paraId="0BA29255" w14:textId="77777777" w:rsidTr="00F34E12">
        <w:trPr>
          <w:trHeight w:val="503"/>
        </w:trPr>
        <w:tc>
          <w:tcPr>
            <w:tcW w:w="3330" w:type="dxa"/>
            <w:vMerge/>
          </w:tcPr>
          <w:p w14:paraId="0FC3D015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661273E4" w14:textId="77777777" w:rsidR="006C1C17" w:rsidRPr="00D0510C" w:rsidRDefault="006C1C17" w:rsidP="006C1C1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1b - Speak effectively to various audiences</w:t>
            </w:r>
          </w:p>
        </w:tc>
        <w:tc>
          <w:tcPr>
            <w:tcW w:w="3409" w:type="dxa"/>
          </w:tcPr>
          <w:p w14:paraId="6CF4EFDB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C17" w:rsidRPr="00D0510C" w14:paraId="7704A253" w14:textId="77777777" w:rsidTr="00F34E12">
        <w:trPr>
          <w:trHeight w:val="503"/>
        </w:trPr>
        <w:tc>
          <w:tcPr>
            <w:tcW w:w="3330" w:type="dxa"/>
            <w:vMerge/>
          </w:tcPr>
          <w:p w14:paraId="76D47E66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5101FFBF" w14:textId="77777777" w:rsidR="006C1C17" w:rsidRPr="00D0510C" w:rsidRDefault="006C1C17" w:rsidP="006C1C1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1c - Find, evaluate, use, and share information effectively and ethically</w:t>
            </w:r>
          </w:p>
        </w:tc>
        <w:tc>
          <w:tcPr>
            <w:tcW w:w="3409" w:type="dxa"/>
          </w:tcPr>
          <w:p w14:paraId="54BD236B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C17" w:rsidRPr="00D0510C" w14:paraId="2F352F9C" w14:textId="77777777" w:rsidTr="00F34E12">
        <w:trPr>
          <w:trHeight w:val="503"/>
        </w:trPr>
        <w:tc>
          <w:tcPr>
            <w:tcW w:w="3330" w:type="dxa"/>
            <w:vMerge/>
          </w:tcPr>
          <w:p w14:paraId="07D43DEC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74582C45" w14:textId="77777777" w:rsidR="006C1C17" w:rsidRPr="00D0510C" w:rsidRDefault="006C1C17" w:rsidP="006C1C1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1d - Construct arguments based on sound evidence and reasoning to support an opinion or conclusion</w:t>
            </w:r>
          </w:p>
        </w:tc>
        <w:tc>
          <w:tcPr>
            <w:tcW w:w="3409" w:type="dxa"/>
          </w:tcPr>
          <w:p w14:paraId="75A75357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C17" w:rsidRPr="00D0510C" w14:paraId="5D60D181" w14:textId="77777777" w:rsidTr="00F34E12">
        <w:trPr>
          <w:trHeight w:val="503"/>
        </w:trPr>
        <w:tc>
          <w:tcPr>
            <w:tcW w:w="3330" w:type="dxa"/>
            <w:vMerge/>
          </w:tcPr>
          <w:p w14:paraId="26704904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78774E49" w14:textId="563DC1CC" w:rsidR="006C1C17" w:rsidRPr="00D0510C" w:rsidRDefault="006C1C17" w:rsidP="0032656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1e - Apply and communicate quantitative arguments using equations and graphical representations of data</w:t>
            </w:r>
          </w:p>
        </w:tc>
        <w:tc>
          <w:tcPr>
            <w:tcW w:w="3409" w:type="dxa"/>
          </w:tcPr>
          <w:p w14:paraId="14034AFF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C17" w:rsidRPr="00D0510C" w14:paraId="75D72FF0" w14:textId="77777777" w:rsidTr="00F34E12">
        <w:trPr>
          <w:trHeight w:val="503"/>
        </w:trPr>
        <w:tc>
          <w:tcPr>
            <w:tcW w:w="3330" w:type="dxa"/>
            <w:vMerge/>
          </w:tcPr>
          <w:p w14:paraId="66523CE5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7BF700C5" w14:textId="77777777" w:rsidR="006C1C17" w:rsidRPr="00D0510C" w:rsidRDefault="006C1C17" w:rsidP="006C1C1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2a - Apply scientific methods and models to draw quantitative and qualitative conclusions about the physical and natural world</w:t>
            </w:r>
          </w:p>
        </w:tc>
        <w:tc>
          <w:tcPr>
            <w:tcW w:w="3409" w:type="dxa"/>
          </w:tcPr>
          <w:p w14:paraId="4DE56EC4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C17" w:rsidRPr="00D0510C" w14:paraId="03E60FE4" w14:textId="77777777" w:rsidTr="00F34E12">
        <w:trPr>
          <w:trHeight w:val="503"/>
        </w:trPr>
        <w:tc>
          <w:tcPr>
            <w:tcW w:w="3330" w:type="dxa"/>
            <w:vMerge/>
          </w:tcPr>
          <w:p w14:paraId="5B57091D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5059259" w14:textId="77777777" w:rsidR="006C1C17" w:rsidRPr="00D0510C" w:rsidRDefault="006C1C17" w:rsidP="006C1C1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2d - Integrate concepts, examples, and theories from more than one discipline to identify problems, construct original ideas, and draw conclusions</w:t>
            </w:r>
          </w:p>
        </w:tc>
        <w:tc>
          <w:tcPr>
            <w:tcW w:w="3409" w:type="dxa"/>
          </w:tcPr>
          <w:p w14:paraId="31CC40FE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C17" w:rsidRPr="00D0510C" w14:paraId="6D6696E2" w14:textId="77777777" w:rsidTr="00F34E12">
        <w:tc>
          <w:tcPr>
            <w:tcW w:w="3330" w:type="dxa"/>
          </w:tcPr>
          <w:p w14:paraId="0144C49A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3611" w:type="dxa"/>
          </w:tcPr>
          <w:p w14:paraId="4636FF04" w14:textId="77777777" w:rsidR="006C1C17" w:rsidRPr="00D0510C" w:rsidRDefault="006C1C17" w:rsidP="006C1C17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14:paraId="46E229B3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17" w:rsidRPr="00D0510C" w14:paraId="5AE07E8D" w14:textId="77777777" w:rsidTr="00F34E12">
        <w:tc>
          <w:tcPr>
            <w:tcW w:w="3330" w:type="dxa"/>
          </w:tcPr>
          <w:p w14:paraId="13B75AA9" w14:textId="77777777" w:rsidR="006C1C17" w:rsidRPr="00D0510C" w:rsidRDefault="006C1C17" w:rsidP="006C1C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510C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3611" w:type="dxa"/>
          </w:tcPr>
          <w:p w14:paraId="7C1DB0ED" w14:textId="77777777" w:rsidR="006C1C17" w:rsidRPr="00D0510C" w:rsidRDefault="006C1C17" w:rsidP="006C1C17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14:paraId="1A196265" w14:textId="77777777" w:rsidR="006C1C17" w:rsidRPr="00D0510C" w:rsidRDefault="006C1C17" w:rsidP="006C1C1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3DA76" w14:textId="77777777" w:rsidR="00047E8B" w:rsidRDefault="00047E8B" w:rsidP="00047E8B">
      <w:pPr>
        <w:pStyle w:val="ListParagraph"/>
        <w:rPr>
          <w:rFonts w:ascii="Arial" w:hAnsi="Arial" w:cs="Arial"/>
          <w:sz w:val="20"/>
          <w:szCs w:val="20"/>
        </w:rPr>
      </w:pPr>
    </w:p>
    <w:p w14:paraId="3855DDCF" w14:textId="77777777" w:rsidR="004723CA" w:rsidRDefault="004723CA" w:rsidP="004723C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4723CA" w14:paraId="311B3D55" w14:textId="77777777" w:rsidTr="00B32BE7">
        <w:tc>
          <w:tcPr>
            <w:tcW w:w="1192" w:type="dxa"/>
          </w:tcPr>
          <w:p w14:paraId="512B10A9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7C2B01A7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18EB50D7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1689149C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23E8699C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26283D58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70C6313B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</w:t>
            </w:r>
            <w:proofErr w:type="gramEnd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S)</w:t>
            </w:r>
          </w:p>
        </w:tc>
        <w:tc>
          <w:tcPr>
            <w:tcW w:w="1192" w:type="dxa"/>
          </w:tcPr>
          <w:p w14:paraId="7E5BA395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1C9F94C6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4723CA" w14:paraId="1A9F5BC8" w14:textId="77777777" w:rsidTr="00B32BE7">
        <w:tc>
          <w:tcPr>
            <w:tcW w:w="1192" w:type="dxa"/>
          </w:tcPr>
          <w:p w14:paraId="7D0CB1B4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B0A3FB2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33A92DE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9210438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2ABD3AF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4E48405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DA96413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670F67C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6ACB4C3" w14:textId="77777777" w:rsidR="004723CA" w:rsidRDefault="004723CA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6E90D14F" w14:textId="77777777" w:rsidR="004723CA" w:rsidRDefault="004723CA" w:rsidP="004723C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sz w:val="18"/>
          <w:szCs w:val="18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p w14:paraId="6ED9E5E8" w14:textId="77777777" w:rsidR="004723CA" w:rsidRPr="00D0510C" w:rsidRDefault="004723CA" w:rsidP="00047E8B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23CA" w:rsidRPr="00D0510C" w:rsidSect="00F34E1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B"/>
    <w:rsid w:val="000129D2"/>
    <w:rsid w:val="00047E8B"/>
    <w:rsid w:val="00067CE6"/>
    <w:rsid w:val="000726F4"/>
    <w:rsid w:val="00134962"/>
    <w:rsid w:val="00162FBF"/>
    <w:rsid w:val="002A3FAB"/>
    <w:rsid w:val="002A6FAB"/>
    <w:rsid w:val="0032656E"/>
    <w:rsid w:val="00367193"/>
    <w:rsid w:val="00383BA4"/>
    <w:rsid w:val="003B15FE"/>
    <w:rsid w:val="003D13B7"/>
    <w:rsid w:val="004611BD"/>
    <w:rsid w:val="00464051"/>
    <w:rsid w:val="004723CA"/>
    <w:rsid w:val="004A153A"/>
    <w:rsid w:val="00545F02"/>
    <w:rsid w:val="00584355"/>
    <w:rsid w:val="00587A8C"/>
    <w:rsid w:val="0059251C"/>
    <w:rsid w:val="005B3A68"/>
    <w:rsid w:val="00604B1C"/>
    <w:rsid w:val="00615F79"/>
    <w:rsid w:val="00645378"/>
    <w:rsid w:val="006C1C17"/>
    <w:rsid w:val="006E1FC0"/>
    <w:rsid w:val="006F5A53"/>
    <w:rsid w:val="00707C91"/>
    <w:rsid w:val="00726916"/>
    <w:rsid w:val="00773EFE"/>
    <w:rsid w:val="007965E8"/>
    <w:rsid w:val="00836171"/>
    <w:rsid w:val="00866B97"/>
    <w:rsid w:val="00911819"/>
    <w:rsid w:val="009B25BE"/>
    <w:rsid w:val="009B4EBF"/>
    <w:rsid w:val="009C1618"/>
    <w:rsid w:val="009C69A7"/>
    <w:rsid w:val="009F5479"/>
    <w:rsid w:val="00A01795"/>
    <w:rsid w:val="00A0687D"/>
    <w:rsid w:val="00AA1DE9"/>
    <w:rsid w:val="00AA3B08"/>
    <w:rsid w:val="00AB46D5"/>
    <w:rsid w:val="00AF108F"/>
    <w:rsid w:val="00B31FC8"/>
    <w:rsid w:val="00BB4FFA"/>
    <w:rsid w:val="00D0510C"/>
    <w:rsid w:val="00D0772C"/>
    <w:rsid w:val="00D17B53"/>
    <w:rsid w:val="00D66BF9"/>
    <w:rsid w:val="00DC52B4"/>
    <w:rsid w:val="00DC5412"/>
    <w:rsid w:val="00E120B8"/>
    <w:rsid w:val="00E773DB"/>
    <w:rsid w:val="00E84B28"/>
    <w:rsid w:val="00EC3A23"/>
    <w:rsid w:val="00F172C0"/>
    <w:rsid w:val="00F208E1"/>
    <w:rsid w:val="00F34E12"/>
    <w:rsid w:val="00F739BB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E8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8B"/>
    <w:pPr>
      <w:ind w:left="720"/>
      <w:contextualSpacing/>
    </w:pPr>
  </w:style>
  <w:style w:type="table" w:styleId="TableGrid">
    <w:name w:val="Table Grid"/>
    <w:basedOn w:val="TableNormal"/>
    <w:uiPriority w:val="59"/>
    <w:rsid w:val="0004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F54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47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8B"/>
    <w:pPr>
      <w:ind w:left="720"/>
      <w:contextualSpacing/>
    </w:pPr>
  </w:style>
  <w:style w:type="table" w:styleId="TableGrid">
    <w:name w:val="Table Grid"/>
    <w:basedOn w:val="TableNormal"/>
    <w:uiPriority w:val="59"/>
    <w:rsid w:val="0004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F54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4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F. Hoyt</dc:creator>
  <cp:lastModifiedBy>Joyce</cp:lastModifiedBy>
  <cp:revision>9</cp:revision>
  <dcterms:created xsi:type="dcterms:W3CDTF">2016-03-03T21:16:00Z</dcterms:created>
  <dcterms:modified xsi:type="dcterms:W3CDTF">2016-03-03T23:11:00Z</dcterms:modified>
</cp:coreProperties>
</file>