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CBBC4" w14:textId="4AAD62CE" w:rsidR="00256754" w:rsidRPr="006C5A3E" w:rsidRDefault="00256754" w:rsidP="00256754">
      <w:pPr>
        <w:tabs>
          <w:tab w:val="decimal" w:pos="5040"/>
          <w:tab w:val="right" w:pos="9360"/>
        </w:tabs>
        <w:rPr>
          <w:rFonts w:asciiTheme="majorHAnsi" w:hAnsiTheme="majorHAnsi" w:cstheme="majorHAnsi"/>
          <w:sz w:val="32"/>
          <w:szCs w:val="32"/>
        </w:rPr>
      </w:pPr>
      <w:r w:rsidRPr="006C5A3E">
        <w:rPr>
          <w:rFonts w:asciiTheme="majorHAnsi" w:hAnsiTheme="majorHAnsi" w:cstheme="majorHAnsi"/>
          <w:b/>
          <w:sz w:val="32"/>
          <w:szCs w:val="32"/>
        </w:rPr>
        <w:t>GE Area: C2</w:t>
      </w:r>
      <w:r w:rsidRPr="006C5A3E">
        <w:rPr>
          <w:rFonts w:asciiTheme="majorHAnsi" w:hAnsiTheme="majorHAnsi" w:cstheme="majorHAnsi"/>
          <w:sz w:val="32"/>
          <w:szCs w:val="32"/>
        </w:rPr>
        <w:tab/>
      </w:r>
      <w:r w:rsidRPr="006C5A3E">
        <w:rPr>
          <w:rFonts w:asciiTheme="majorHAnsi" w:hAnsiTheme="majorHAnsi" w:cstheme="majorHAnsi"/>
          <w:b/>
          <w:sz w:val="32"/>
          <w:szCs w:val="32"/>
        </w:rPr>
        <w:t>Title:</w:t>
      </w:r>
      <w:r w:rsidRPr="006C5A3E">
        <w:rPr>
          <w:rFonts w:asciiTheme="majorHAnsi" w:hAnsiTheme="majorHAnsi" w:cstheme="majorHAnsi"/>
          <w:sz w:val="32"/>
          <w:szCs w:val="32"/>
        </w:rPr>
        <w:t xml:space="preserve"> </w:t>
      </w:r>
      <w:r w:rsidRPr="006C5A3E">
        <w:rPr>
          <w:rFonts w:asciiTheme="majorHAnsi" w:hAnsiTheme="majorHAnsi" w:cstheme="majorHAnsi"/>
          <w:sz w:val="32"/>
          <w:szCs w:val="32"/>
        </w:rPr>
        <w:tab/>
      </w:r>
      <w:r w:rsidRPr="006C5A3E">
        <w:rPr>
          <w:rFonts w:asciiTheme="majorHAnsi" w:hAnsiTheme="majorHAnsi" w:cstheme="majorHAnsi"/>
          <w:b/>
          <w:sz w:val="32"/>
          <w:szCs w:val="32"/>
        </w:rPr>
        <w:t>Course</w:t>
      </w:r>
      <w:r w:rsidRPr="006C5A3E">
        <w:rPr>
          <w:rFonts w:asciiTheme="majorHAnsi" w:hAnsiTheme="majorHAnsi" w:cstheme="majorHAnsi"/>
          <w:sz w:val="32"/>
          <w:szCs w:val="32"/>
        </w:rPr>
        <w:t xml:space="preserve"> #   </w:t>
      </w:r>
    </w:p>
    <w:p w14:paraId="555C28CA" w14:textId="77777777" w:rsidR="00256754" w:rsidRPr="006C5A3E" w:rsidRDefault="00256754" w:rsidP="00256754">
      <w:pPr>
        <w:tabs>
          <w:tab w:val="decimal" w:pos="5040"/>
          <w:tab w:val="right" w:pos="9090"/>
        </w:tabs>
        <w:rPr>
          <w:rFonts w:asciiTheme="majorHAnsi" w:hAnsiTheme="majorHAnsi" w:cstheme="majorHAnsi"/>
          <w:sz w:val="20"/>
          <w:szCs w:val="20"/>
        </w:rPr>
      </w:pPr>
      <w:r w:rsidRPr="006C5A3E">
        <w:rPr>
          <w:rFonts w:asciiTheme="majorHAnsi" w:hAnsiTheme="majorHAnsi" w:cstheme="majorHAnsi"/>
          <w:sz w:val="20"/>
          <w:szCs w:val="20"/>
        </w:rPr>
        <w:t xml:space="preserve">Reviewer’s Name: </w:t>
      </w:r>
    </w:p>
    <w:p w14:paraId="0F626DAE" w14:textId="1B8E1BDF" w:rsidR="00660970" w:rsidRPr="006C5A3E" w:rsidRDefault="004B1E68" w:rsidP="00660970">
      <w:pPr>
        <w:spacing w:after="0"/>
        <w:ind w:right="2045"/>
        <w:rPr>
          <w:rFonts w:asciiTheme="majorHAnsi" w:eastAsia="Times New Roman" w:hAnsiTheme="majorHAnsi" w:cstheme="majorHAnsi"/>
          <w:b/>
          <w:sz w:val="20"/>
          <w:szCs w:val="20"/>
        </w:rPr>
      </w:pPr>
      <w:r w:rsidRPr="006C5A3E">
        <w:rPr>
          <w:rFonts w:asciiTheme="majorHAnsi" w:eastAsia="Times New Roman" w:hAnsiTheme="majorHAnsi" w:cstheme="majorHAnsi"/>
          <w:b/>
          <w:sz w:val="20"/>
          <w:szCs w:val="20"/>
        </w:rPr>
        <w:t>C2</w:t>
      </w:r>
      <w:r w:rsidR="006C5A3E" w:rsidRPr="006C5A3E">
        <w:rPr>
          <w:rFonts w:asciiTheme="majorHAnsi" w:eastAsia="Times New Roman" w:hAnsiTheme="majorHAnsi" w:cstheme="majorHAnsi"/>
          <w:b/>
          <w:sz w:val="20"/>
          <w:szCs w:val="20"/>
        </w:rPr>
        <w:t>:</w:t>
      </w:r>
      <w:r w:rsidR="005F4A75" w:rsidRPr="006C5A3E">
        <w:rPr>
          <w:rFonts w:asciiTheme="majorHAnsi" w:eastAsia="Times New Roman" w:hAnsiTheme="majorHAnsi" w:cstheme="majorHAnsi"/>
          <w:b/>
          <w:sz w:val="20"/>
          <w:szCs w:val="20"/>
        </w:rPr>
        <w:t xml:space="preserve"> </w:t>
      </w:r>
      <w:r w:rsidR="00660970" w:rsidRPr="006C5A3E">
        <w:rPr>
          <w:rFonts w:asciiTheme="majorHAnsi" w:eastAsia="Times New Roman" w:hAnsiTheme="majorHAnsi" w:cstheme="majorHAnsi"/>
          <w:b/>
          <w:sz w:val="20"/>
          <w:szCs w:val="20"/>
        </w:rPr>
        <w:t>L</w:t>
      </w:r>
      <w:r w:rsidR="00660970" w:rsidRPr="006C5A3E">
        <w:rPr>
          <w:rFonts w:asciiTheme="majorHAnsi" w:eastAsia="Times New Roman" w:hAnsiTheme="majorHAnsi" w:cstheme="majorHAnsi"/>
          <w:b/>
          <w:sz w:val="20"/>
          <w:szCs w:val="20"/>
        </w:rPr>
        <w:t>iterature, Modern Languages, Philosophy and Civilization (3 semester units)</w:t>
      </w:r>
      <w:r w:rsidR="00660970" w:rsidRPr="006C5A3E">
        <w:rPr>
          <w:rFonts w:asciiTheme="majorHAnsi" w:eastAsia="Times New Roman" w:hAnsiTheme="majorHAnsi" w:cstheme="majorHAnsi"/>
          <w:b/>
          <w:sz w:val="20"/>
          <w:szCs w:val="20"/>
        </w:rPr>
        <w:t xml:space="preserve"> </w:t>
      </w:r>
    </w:p>
    <w:p w14:paraId="320ADA3E" w14:textId="7E6FB5AE" w:rsidR="006C5A3E" w:rsidRPr="006C5A3E" w:rsidRDefault="006C5A3E" w:rsidP="006C5A3E">
      <w:pPr>
        <w:spacing w:line="260" w:lineRule="exact"/>
        <w:ind w:right="73"/>
        <w:jc w:val="both"/>
        <w:rPr>
          <w:rFonts w:asciiTheme="majorHAnsi" w:eastAsia="Times New Roman" w:hAnsiTheme="majorHAnsi" w:cstheme="majorHAnsi"/>
          <w:sz w:val="20"/>
          <w:szCs w:val="20"/>
        </w:rPr>
      </w:pPr>
      <w:r w:rsidRPr="006C5A3E">
        <w:rPr>
          <w:rFonts w:asciiTheme="majorHAnsi" w:eastAsia="Times New Roman" w:hAnsiTheme="majorHAnsi" w:cstheme="majorHAnsi"/>
          <w:sz w:val="20"/>
          <w:szCs w:val="20"/>
        </w:rPr>
        <w:t xml:space="preserve">Literature and modern languages courses in this area will provide students with an appreciation of languages and literature, underscoring both the relationships between culture and language and the significance of literature in the interpretation of culture. Students in literature and foreign languages will better understand the implication of great creative writings and communicative customs and traditions of </w:t>
      </w:r>
      <w:proofErr w:type="gramStart"/>
      <w:r w:rsidRPr="006C5A3E">
        <w:rPr>
          <w:rFonts w:asciiTheme="majorHAnsi" w:eastAsia="Times New Roman" w:hAnsiTheme="majorHAnsi" w:cstheme="majorHAnsi"/>
          <w:sz w:val="20"/>
          <w:szCs w:val="20"/>
        </w:rPr>
        <w:t>particular cultures</w:t>
      </w:r>
      <w:proofErr w:type="gramEnd"/>
      <w:r w:rsidRPr="006C5A3E">
        <w:rPr>
          <w:rFonts w:asciiTheme="majorHAnsi" w:eastAsia="Times New Roman" w:hAnsiTheme="majorHAnsi" w:cstheme="majorHAnsi"/>
          <w:sz w:val="20"/>
          <w:szCs w:val="20"/>
        </w:rPr>
        <w:t>. Instruction in these courses will deepen students' appreciation of enduring works of literature and of the contributions of diverse cultures to our literary and linguistic heritage. Courses in languages other than English shall not focus solely on skills acquisition but also contain a substantial cultural component. This may include literature, among other content.</w:t>
      </w:r>
    </w:p>
    <w:p w14:paraId="0C5CD84B" w14:textId="65634534" w:rsidR="00A034F6" w:rsidRPr="006C5A3E" w:rsidRDefault="006C5A3E" w:rsidP="006C5A3E">
      <w:pPr>
        <w:spacing w:line="260" w:lineRule="exact"/>
        <w:ind w:right="73"/>
        <w:jc w:val="both"/>
        <w:rPr>
          <w:rFonts w:asciiTheme="majorHAnsi" w:hAnsiTheme="majorHAnsi" w:cstheme="majorHAnsi"/>
          <w:sz w:val="20"/>
          <w:szCs w:val="20"/>
        </w:rPr>
      </w:pPr>
      <w:r w:rsidRPr="006C5A3E">
        <w:rPr>
          <w:rFonts w:asciiTheme="majorHAnsi" w:eastAsia="Times New Roman" w:hAnsiTheme="majorHAnsi" w:cstheme="majorHAnsi"/>
          <w:sz w:val="20"/>
          <w:szCs w:val="20"/>
        </w:rPr>
        <w:t>Philosophy and civilization courses in this area will provide students with an understanding of the values that make a civilized and humane society possible. Courses will enable students to critically examine the philosophical ideas and theories around which different civilizations have been organized and explore the complex developments of those civilizations. In the study of philosophy, students will come to understand and appreciate the principles, methodologies, and thought processes employed in human inquiry. Courses should promote the capacity to make informed and responsible moral choices as well as encouraging a broad historical understanding.</w:t>
      </w:r>
    </w:p>
    <w:tbl>
      <w:tblPr>
        <w:tblStyle w:val="TableGrid"/>
        <w:tblW w:w="0" w:type="auto"/>
        <w:tblInd w:w="108" w:type="dxa"/>
        <w:tblLook w:val="04A0" w:firstRow="1" w:lastRow="0" w:firstColumn="1" w:lastColumn="0" w:noHBand="0" w:noVBand="1"/>
      </w:tblPr>
      <w:tblGrid>
        <w:gridCol w:w="3330"/>
        <w:gridCol w:w="3240"/>
        <w:gridCol w:w="3690"/>
      </w:tblGrid>
      <w:tr w:rsidR="004B1E68" w:rsidRPr="006C5A3E" w14:paraId="1638B6EC" w14:textId="77777777" w:rsidTr="00A034F6">
        <w:tc>
          <w:tcPr>
            <w:tcW w:w="3330" w:type="dxa"/>
            <w:vAlign w:val="center"/>
          </w:tcPr>
          <w:p w14:paraId="60E26B91" w14:textId="77777777" w:rsidR="004B1E68" w:rsidRPr="006C5A3E" w:rsidRDefault="004B1E68" w:rsidP="00747DD4">
            <w:pPr>
              <w:jc w:val="center"/>
              <w:rPr>
                <w:rFonts w:asciiTheme="majorHAnsi" w:hAnsiTheme="majorHAnsi" w:cstheme="majorHAnsi"/>
                <w:sz w:val="20"/>
                <w:szCs w:val="20"/>
              </w:rPr>
            </w:pPr>
            <w:r w:rsidRPr="006C5A3E">
              <w:rPr>
                <w:rFonts w:asciiTheme="majorHAnsi" w:hAnsiTheme="majorHAnsi" w:cstheme="majorHAnsi"/>
                <w:sz w:val="20"/>
                <w:szCs w:val="20"/>
              </w:rPr>
              <w:t>Rubric Question</w:t>
            </w:r>
          </w:p>
        </w:tc>
        <w:tc>
          <w:tcPr>
            <w:tcW w:w="3240" w:type="dxa"/>
            <w:vAlign w:val="center"/>
          </w:tcPr>
          <w:p w14:paraId="69458DF6" w14:textId="77777777" w:rsidR="004B1E68" w:rsidRPr="006C5A3E" w:rsidRDefault="004B1E68" w:rsidP="00747DD4">
            <w:pPr>
              <w:ind w:left="68"/>
              <w:jc w:val="center"/>
              <w:rPr>
                <w:rFonts w:asciiTheme="majorHAnsi" w:hAnsiTheme="majorHAnsi" w:cstheme="majorHAnsi"/>
                <w:sz w:val="20"/>
                <w:szCs w:val="20"/>
              </w:rPr>
            </w:pPr>
            <w:r w:rsidRPr="006C5A3E">
              <w:rPr>
                <w:rFonts w:asciiTheme="majorHAnsi" w:hAnsiTheme="majorHAnsi" w:cstheme="majorHAnsi"/>
                <w:sz w:val="20"/>
                <w:szCs w:val="20"/>
              </w:rPr>
              <w:t>GE subareas or SLOs mapped</w:t>
            </w:r>
          </w:p>
        </w:tc>
        <w:tc>
          <w:tcPr>
            <w:tcW w:w="3690" w:type="dxa"/>
            <w:vAlign w:val="center"/>
          </w:tcPr>
          <w:p w14:paraId="2C6412F9" w14:textId="77777777" w:rsidR="004B1E68" w:rsidRPr="006C5A3E" w:rsidRDefault="004B1E68" w:rsidP="00747DD4">
            <w:pPr>
              <w:ind w:left="-29"/>
              <w:jc w:val="center"/>
              <w:rPr>
                <w:rFonts w:asciiTheme="majorHAnsi" w:hAnsiTheme="majorHAnsi" w:cstheme="majorHAnsi"/>
                <w:sz w:val="20"/>
                <w:szCs w:val="20"/>
              </w:rPr>
            </w:pPr>
            <w:r w:rsidRPr="006C5A3E">
              <w:rPr>
                <w:rFonts w:asciiTheme="majorHAnsi" w:hAnsiTheme="majorHAnsi" w:cstheme="majorHAnsi"/>
                <w:sz w:val="20"/>
                <w:szCs w:val="20"/>
              </w:rPr>
              <w:t>Comments</w:t>
            </w:r>
          </w:p>
        </w:tc>
      </w:tr>
      <w:tr w:rsidR="004B1E68" w:rsidRPr="006C5A3E" w14:paraId="4CA786A9" w14:textId="77777777" w:rsidTr="00A034F6">
        <w:tc>
          <w:tcPr>
            <w:tcW w:w="3330" w:type="dxa"/>
          </w:tcPr>
          <w:p w14:paraId="18CE34C2" w14:textId="77777777" w:rsidR="004B1E68" w:rsidRPr="006C5A3E" w:rsidRDefault="004B1E68" w:rsidP="00747DD4">
            <w:pPr>
              <w:pStyle w:val="ListParagraph"/>
              <w:numPr>
                <w:ilvl w:val="0"/>
                <w:numId w:val="1"/>
              </w:numPr>
              <w:rPr>
                <w:rFonts w:asciiTheme="majorHAnsi" w:hAnsiTheme="majorHAnsi" w:cstheme="majorHAnsi"/>
                <w:sz w:val="20"/>
                <w:szCs w:val="20"/>
              </w:rPr>
            </w:pPr>
            <w:r w:rsidRPr="006C5A3E">
              <w:rPr>
                <w:rFonts w:asciiTheme="majorHAnsi" w:hAnsiTheme="majorHAnsi" w:cstheme="majorHAnsi"/>
                <w:sz w:val="20"/>
                <w:szCs w:val="20"/>
              </w:rPr>
              <w:t>Does the course meet the description of the GE Subarea?</w:t>
            </w:r>
          </w:p>
        </w:tc>
        <w:tc>
          <w:tcPr>
            <w:tcW w:w="3240" w:type="dxa"/>
          </w:tcPr>
          <w:p w14:paraId="39CAB2B8" w14:textId="1DF0280D" w:rsidR="004B1E68" w:rsidRPr="006C5A3E" w:rsidRDefault="00884188" w:rsidP="00747DD4">
            <w:pPr>
              <w:ind w:left="68"/>
              <w:rPr>
                <w:rFonts w:asciiTheme="majorHAnsi" w:hAnsiTheme="majorHAnsi" w:cstheme="majorHAnsi"/>
                <w:sz w:val="20"/>
                <w:szCs w:val="20"/>
              </w:rPr>
            </w:pPr>
            <w:r w:rsidRPr="006C5A3E">
              <w:rPr>
                <w:rFonts w:asciiTheme="majorHAnsi" w:hAnsiTheme="majorHAnsi" w:cstheme="majorHAnsi"/>
                <w:sz w:val="20"/>
                <w:szCs w:val="20"/>
              </w:rPr>
              <w:t>C2 (see full description above)</w:t>
            </w:r>
            <w:r w:rsidR="00AC129A" w:rsidRPr="006C5A3E">
              <w:rPr>
                <w:rFonts w:asciiTheme="majorHAnsi" w:hAnsiTheme="majorHAnsi" w:cstheme="majorHAnsi"/>
                <w:sz w:val="20"/>
                <w:szCs w:val="20"/>
              </w:rPr>
              <w:t xml:space="preserve"> plus additional description of Area C</w:t>
            </w:r>
          </w:p>
        </w:tc>
        <w:tc>
          <w:tcPr>
            <w:tcW w:w="3690" w:type="dxa"/>
          </w:tcPr>
          <w:p w14:paraId="3037182F" w14:textId="77777777" w:rsidR="004B1E68" w:rsidRPr="006C5A3E" w:rsidRDefault="004B1E68" w:rsidP="00747DD4">
            <w:pPr>
              <w:ind w:left="-29"/>
              <w:rPr>
                <w:rFonts w:asciiTheme="majorHAnsi" w:hAnsiTheme="majorHAnsi" w:cstheme="majorHAnsi"/>
                <w:sz w:val="20"/>
                <w:szCs w:val="20"/>
              </w:rPr>
            </w:pPr>
          </w:p>
        </w:tc>
      </w:tr>
      <w:tr w:rsidR="009A4566" w:rsidRPr="006C5A3E" w14:paraId="76F3B338" w14:textId="77777777" w:rsidTr="00A034F6">
        <w:trPr>
          <w:trHeight w:val="503"/>
        </w:trPr>
        <w:tc>
          <w:tcPr>
            <w:tcW w:w="3330" w:type="dxa"/>
            <w:vMerge w:val="restart"/>
          </w:tcPr>
          <w:p w14:paraId="51E5D517" w14:textId="77777777" w:rsidR="009A4566" w:rsidRPr="006C5A3E" w:rsidRDefault="009A4566" w:rsidP="00747DD4">
            <w:pPr>
              <w:pStyle w:val="ListParagraph"/>
              <w:numPr>
                <w:ilvl w:val="0"/>
                <w:numId w:val="1"/>
              </w:numPr>
              <w:rPr>
                <w:rFonts w:asciiTheme="majorHAnsi" w:hAnsiTheme="majorHAnsi" w:cstheme="majorHAnsi"/>
                <w:sz w:val="20"/>
                <w:szCs w:val="20"/>
              </w:rPr>
            </w:pPr>
            <w:r w:rsidRPr="006C5A3E">
              <w:rPr>
                <w:rFonts w:asciiTheme="majorHAnsi" w:hAnsiTheme="majorHAnsi" w:cstheme="majorHAnsi"/>
                <w:color w:val="000000"/>
                <w:sz w:val="20"/>
                <w:szCs w:val="20"/>
              </w:rPr>
              <w:t>Does the course fully address the GE SLOs mapped to the subarea</w:t>
            </w:r>
            <w:r w:rsidRPr="006C5A3E">
              <w:rPr>
                <w:rFonts w:asciiTheme="majorHAnsi" w:hAnsiTheme="majorHAnsi" w:cstheme="majorHAnsi"/>
                <w:sz w:val="20"/>
                <w:szCs w:val="20"/>
              </w:rPr>
              <w:t>?</w:t>
            </w:r>
          </w:p>
        </w:tc>
        <w:tc>
          <w:tcPr>
            <w:tcW w:w="3240" w:type="dxa"/>
          </w:tcPr>
          <w:p w14:paraId="792CA912" w14:textId="77777777" w:rsidR="009A4566" w:rsidRPr="006C5A3E" w:rsidRDefault="009A4566" w:rsidP="00747DD4">
            <w:pPr>
              <w:rPr>
                <w:rFonts w:asciiTheme="majorHAnsi" w:hAnsiTheme="majorHAnsi" w:cstheme="majorHAnsi"/>
                <w:color w:val="000000"/>
                <w:sz w:val="20"/>
                <w:szCs w:val="20"/>
              </w:rPr>
            </w:pPr>
            <w:r w:rsidRPr="006C5A3E">
              <w:rPr>
                <w:rFonts w:asciiTheme="majorHAnsi" w:hAnsiTheme="majorHAnsi" w:cstheme="majorHAnsi"/>
                <w:color w:val="000000"/>
                <w:sz w:val="20"/>
                <w:szCs w:val="20"/>
              </w:rPr>
              <w:t>1a – Write effectively</w:t>
            </w:r>
          </w:p>
        </w:tc>
        <w:tc>
          <w:tcPr>
            <w:tcW w:w="3690" w:type="dxa"/>
          </w:tcPr>
          <w:p w14:paraId="415F0FF3" w14:textId="77777777" w:rsidR="009A4566" w:rsidRPr="006C5A3E" w:rsidRDefault="009A4566" w:rsidP="00747DD4">
            <w:pPr>
              <w:ind w:left="-29"/>
              <w:rPr>
                <w:rFonts w:asciiTheme="majorHAnsi" w:hAnsiTheme="majorHAnsi" w:cstheme="majorHAnsi"/>
                <w:color w:val="000000"/>
                <w:sz w:val="20"/>
                <w:szCs w:val="20"/>
              </w:rPr>
            </w:pPr>
          </w:p>
        </w:tc>
      </w:tr>
      <w:tr w:rsidR="009A4566" w:rsidRPr="006C5A3E" w14:paraId="129DD4BB" w14:textId="77777777" w:rsidTr="00A034F6">
        <w:trPr>
          <w:trHeight w:val="503"/>
        </w:trPr>
        <w:tc>
          <w:tcPr>
            <w:tcW w:w="3330" w:type="dxa"/>
            <w:vMerge/>
          </w:tcPr>
          <w:p w14:paraId="7E2F524B" w14:textId="77777777" w:rsidR="009A4566" w:rsidRPr="006C5A3E" w:rsidRDefault="009A4566" w:rsidP="00747DD4">
            <w:pPr>
              <w:pStyle w:val="ListParagraph"/>
              <w:numPr>
                <w:ilvl w:val="0"/>
                <w:numId w:val="1"/>
              </w:numPr>
              <w:rPr>
                <w:rFonts w:asciiTheme="majorHAnsi" w:hAnsiTheme="majorHAnsi" w:cstheme="majorHAnsi"/>
                <w:color w:val="000000"/>
                <w:sz w:val="20"/>
                <w:szCs w:val="20"/>
              </w:rPr>
            </w:pPr>
          </w:p>
        </w:tc>
        <w:tc>
          <w:tcPr>
            <w:tcW w:w="3240" w:type="dxa"/>
          </w:tcPr>
          <w:p w14:paraId="7874F743" w14:textId="77777777" w:rsidR="009A4566" w:rsidRPr="006C5A3E" w:rsidRDefault="009A4566" w:rsidP="00747DD4">
            <w:pPr>
              <w:pStyle w:val="PlainText"/>
              <w:rPr>
                <w:rFonts w:asciiTheme="majorHAnsi" w:hAnsiTheme="majorHAnsi" w:cstheme="majorHAnsi"/>
                <w:sz w:val="20"/>
                <w:szCs w:val="20"/>
              </w:rPr>
            </w:pPr>
            <w:r w:rsidRPr="006C5A3E">
              <w:rPr>
                <w:rFonts w:asciiTheme="majorHAnsi" w:hAnsiTheme="majorHAnsi" w:cstheme="majorHAnsi"/>
                <w:sz w:val="20"/>
                <w:szCs w:val="20"/>
              </w:rPr>
              <w:t>1c - Find, evaluate, use, and share information effectively and ethically</w:t>
            </w:r>
          </w:p>
        </w:tc>
        <w:tc>
          <w:tcPr>
            <w:tcW w:w="3690" w:type="dxa"/>
          </w:tcPr>
          <w:p w14:paraId="3A3EB476" w14:textId="77777777" w:rsidR="009A4566" w:rsidRPr="006C5A3E" w:rsidRDefault="009A4566" w:rsidP="00747DD4">
            <w:pPr>
              <w:ind w:left="-29"/>
              <w:rPr>
                <w:rFonts w:asciiTheme="majorHAnsi" w:hAnsiTheme="majorHAnsi" w:cstheme="majorHAnsi"/>
                <w:color w:val="000000"/>
                <w:sz w:val="20"/>
                <w:szCs w:val="20"/>
              </w:rPr>
            </w:pPr>
          </w:p>
        </w:tc>
      </w:tr>
      <w:tr w:rsidR="009A4566" w:rsidRPr="006C5A3E" w14:paraId="7D922B63" w14:textId="77777777" w:rsidTr="00A034F6">
        <w:trPr>
          <w:trHeight w:val="503"/>
        </w:trPr>
        <w:tc>
          <w:tcPr>
            <w:tcW w:w="3330" w:type="dxa"/>
            <w:vMerge/>
          </w:tcPr>
          <w:p w14:paraId="4BF6D6CF" w14:textId="77777777" w:rsidR="009A4566" w:rsidRPr="006C5A3E" w:rsidRDefault="009A4566" w:rsidP="00747DD4">
            <w:pPr>
              <w:pStyle w:val="ListParagraph"/>
              <w:numPr>
                <w:ilvl w:val="0"/>
                <w:numId w:val="1"/>
              </w:numPr>
              <w:rPr>
                <w:rFonts w:asciiTheme="majorHAnsi" w:hAnsiTheme="majorHAnsi" w:cstheme="majorHAnsi"/>
                <w:color w:val="000000"/>
                <w:sz w:val="20"/>
                <w:szCs w:val="20"/>
              </w:rPr>
            </w:pPr>
          </w:p>
        </w:tc>
        <w:tc>
          <w:tcPr>
            <w:tcW w:w="3240" w:type="dxa"/>
          </w:tcPr>
          <w:p w14:paraId="579BAAF9" w14:textId="432E9E15" w:rsidR="009A4566" w:rsidRPr="006C5A3E" w:rsidRDefault="009A4566" w:rsidP="006962DF">
            <w:pPr>
              <w:pStyle w:val="PlainText"/>
              <w:rPr>
                <w:rFonts w:asciiTheme="majorHAnsi" w:hAnsiTheme="majorHAnsi" w:cstheme="majorHAnsi"/>
                <w:sz w:val="20"/>
                <w:szCs w:val="20"/>
              </w:rPr>
            </w:pPr>
            <w:r w:rsidRPr="006C5A3E">
              <w:rPr>
                <w:rFonts w:asciiTheme="majorHAnsi" w:hAnsiTheme="majorHAnsi" w:cstheme="majorHAnsi"/>
                <w:sz w:val="20"/>
                <w:szCs w:val="20"/>
              </w:rPr>
              <w:t xml:space="preserve">1d - Construct arguments based on sound evidence and reasoning to support an opinion or conclusion </w:t>
            </w:r>
          </w:p>
        </w:tc>
        <w:tc>
          <w:tcPr>
            <w:tcW w:w="3690" w:type="dxa"/>
          </w:tcPr>
          <w:p w14:paraId="09FB0241" w14:textId="77777777" w:rsidR="009A4566" w:rsidRPr="006C5A3E" w:rsidRDefault="009A4566" w:rsidP="00747DD4">
            <w:pPr>
              <w:ind w:left="-29"/>
              <w:rPr>
                <w:rFonts w:asciiTheme="majorHAnsi" w:hAnsiTheme="majorHAnsi" w:cstheme="majorHAnsi"/>
                <w:color w:val="000000"/>
                <w:sz w:val="20"/>
                <w:szCs w:val="20"/>
              </w:rPr>
            </w:pPr>
          </w:p>
        </w:tc>
      </w:tr>
      <w:tr w:rsidR="009A4566" w:rsidRPr="006C5A3E" w14:paraId="0172CE9B" w14:textId="77777777" w:rsidTr="00A034F6">
        <w:trPr>
          <w:trHeight w:val="521"/>
        </w:trPr>
        <w:tc>
          <w:tcPr>
            <w:tcW w:w="3330" w:type="dxa"/>
            <w:vMerge/>
          </w:tcPr>
          <w:p w14:paraId="6B976282" w14:textId="77777777" w:rsidR="009A4566" w:rsidRPr="006C5A3E" w:rsidRDefault="009A4566" w:rsidP="00747DD4">
            <w:pPr>
              <w:pStyle w:val="ListParagraph"/>
              <w:numPr>
                <w:ilvl w:val="0"/>
                <w:numId w:val="1"/>
              </w:numPr>
              <w:rPr>
                <w:rFonts w:asciiTheme="majorHAnsi" w:hAnsiTheme="majorHAnsi" w:cstheme="majorHAnsi"/>
                <w:color w:val="000000"/>
                <w:sz w:val="20"/>
                <w:szCs w:val="20"/>
              </w:rPr>
            </w:pPr>
          </w:p>
        </w:tc>
        <w:tc>
          <w:tcPr>
            <w:tcW w:w="3240" w:type="dxa"/>
          </w:tcPr>
          <w:p w14:paraId="29AB04A6" w14:textId="77777777" w:rsidR="009A4566" w:rsidRPr="006C5A3E" w:rsidRDefault="009A4566" w:rsidP="00747DD4">
            <w:pPr>
              <w:pStyle w:val="PlainText"/>
              <w:rPr>
                <w:rFonts w:asciiTheme="majorHAnsi" w:hAnsiTheme="majorHAnsi" w:cstheme="majorHAnsi"/>
                <w:color w:val="000000"/>
                <w:sz w:val="20"/>
                <w:szCs w:val="20"/>
              </w:rPr>
            </w:pPr>
            <w:r w:rsidRPr="006C5A3E">
              <w:rPr>
                <w:rFonts w:asciiTheme="majorHAnsi" w:hAnsiTheme="majorHAnsi" w:cstheme="majorHAnsi"/>
                <w:color w:val="000000"/>
                <w:sz w:val="20"/>
                <w:szCs w:val="20"/>
              </w:rPr>
              <w:t xml:space="preserve">2b - </w:t>
            </w:r>
            <w:r w:rsidRPr="006C5A3E">
              <w:rPr>
                <w:rFonts w:asciiTheme="majorHAnsi" w:hAnsiTheme="majorHAnsi" w:cstheme="majorHAnsi"/>
                <w:sz w:val="20"/>
                <w:szCs w:val="20"/>
              </w:rPr>
              <w:t>Analyze major literary, philosophical, historical or artistic works and explain their significance in society</w:t>
            </w:r>
          </w:p>
        </w:tc>
        <w:tc>
          <w:tcPr>
            <w:tcW w:w="3690" w:type="dxa"/>
          </w:tcPr>
          <w:p w14:paraId="20DE0BAE" w14:textId="77777777" w:rsidR="009A4566" w:rsidRPr="006C5A3E" w:rsidRDefault="009A4566" w:rsidP="00747DD4">
            <w:pPr>
              <w:ind w:left="-29"/>
              <w:rPr>
                <w:rFonts w:asciiTheme="majorHAnsi" w:hAnsiTheme="majorHAnsi" w:cstheme="majorHAnsi"/>
                <w:color w:val="000000"/>
                <w:sz w:val="20"/>
                <w:szCs w:val="20"/>
              </w:rPr>
            </w:pPr>
          </w:p>
        </w:tc>
      </w:tr>
      <w:tr w:rsidR="009A4566" w:rsidRPr="006C5A3E" w14:paraId="210EDC7C" w14:textId="77777777" w:rsidTr="00A034F6">
        <w:trPr>
          <w:trHeight w:val="458"/>
        </w:trPr>
        <w:tc>
          <w:tcPr>
            <w:tcW w:w="3330" w:type="dxa"/>
            <w:vMerge/>
          </w:tcPr>
          <w:p w14:paraId="2C6CD339" w14:textId="77777777" w:rsidR="009A4566" w:rsidRPr="006C5A3E" w:rsidRDefault="009A4566" w:rsidP="00747DD4">
            <w:pPr>
              <w:pStyle w:val="ListParagraph"/>
              <w:numPr>
                <w:ilvl w:val="0"/>
                <w:numId w:val="1"/>
              </w:numPr>
              <w:rPr>
                <w:rFonts w:asciiTheme="majorHAnsi" w:hAnsiTheme="majorHAnsi" w:cstheme="majorHAnsi"/>
                <w:color w:val="000000"/>
                <w:sz w:val="20"/>
                <w:szCs w:val="20"/>
              </w:rPr>
            </w:pPr>
          </w:p>
        </w:tc>
        <w:tc>
          <w:tcPr>
            <w:tcW w:w="3240" w:type="dxa"/>
          </w:tcPr>
          <w:p w14:paraId="65EFED0D" w14:textId="56E31D69" w:rsidR="009A4566" w:rsidRPr="006C5A3E" w:rsidRDefault="001C064A" w:rsidP="00747DD4">
            <w:pPr>
              <w:rPr>
                <w:rFonts w:asciiTheme="majorHAnsi" w:hAnsiTheme="majorHAnsi" w:cstheme="majorHAnsi"/>
                <w:color w:val="000000"/>
                <w:sz w:val="20"/>
                <w:szCs w:val="20"/>
              </w:rPr>
            </w:pPr>
            <w:r w:rsidRPr="006C5A3E">
              <w:rPr>
                <w:rFonts w:asciiTheme="majorHAnsi" w:hAnsiTheme="majorHAnsi" w:cstheme="majorHAnsi"/>
                <w:sz w:val="20"/>
                <w:szCs w:val="20"/>
              </w:rPr>
              <w:t>3a - Analyze the historical development of diverse cultures and the role they play in shaping core institutions and practices of individuals and societies</w:t>
            </w:r>
          </w:p>
        </w:tc>
        <w:tc>
          <w:tcPr>
            <w:tcW w:w="3690" w:type="dxa"/>
          </w:tcPr>
          <w:p w14:paraId="4065EBAB" w14:textId="4B67598C" w:rsidR="009A4566" w:rsidRPr="006C5A3E" w:rsidRDefault="009A4566" w:rsidP="00747DD4">
            <w:pPr>
              <w:ind w:left="-29"/>
              <w:rPr>
                <w:rFonts w:asciiTheme="majorHAnsi" w:hAnsiTheme="majorHAnsi" w:cstheme="majorHAnsi"/>
                <w:color w:val="000000"/>
                <w:sz w:val="20"/>
                <w:szCs w:val="20"/>
              </w:rPr>
            </w:pPr>
          </w:p>
        </w:tc>
      </w:tr>
      <w:tr w:rsidR="009A4566" w:rsidRPr="006C5A3E" w14:paraId="66264EF3" w14:textId="77777777" w:rsidTr="00A034F6">
        <w:trPr>
          <w:trHeight w:val="458"/>
        </w:trPr>
        <w:tc>
          <w:tcPr>
            <w:tcW w:w="3330" w:type="dxa"/>
            <w:vMerge/>
          </w:tcPr>
          <w:p w14:paraId="6E6C4997" w14:textId="77777777" w:rsidR="009A4566" w:rsidRPr="006C5A3E" w:rsidRDefault="009A4566" w:rsidP="009A4566">
            <w:pPr>
              <w:pStyle w:val="ListParagraph"/>
              <w:numPr>
                <w:ilvl w:val="0"/>
                <w:numId w:val="1"/>
              </w:numPr>
              <w:rPr>
                <w:rFonts w:asciiTheme="majorHAnsi" w:hAnsiTheme="majorHAnsi" w:cstheme="majorHAnsi"/>
                <w:color w:val="000000"/>
                <w:sz w:val="20"/>
                <w:szCs w:val="20"/>
              </w:rPr>
            </w:pPr>
          </w:p>
        </w:tc>
        <w:tc>
          <w:tcPr>
            <w:tcW w:w="3240" w:type="dxa"/>
          </w:tcPr>
          <w:p w14:paraId="4B50175F" w14:textId="4360163F" w:rsidR="009A4566" w:rsidRPr="006C5A3E" w:rsidRDefault="001C064A" w:rsidP="009A4566">
            <w:pPr>
              <w:rPr>
                <w:rFonts w:asciiTheme="majorHAnsi" w:hAnsiTheme="majorHAnsi" w:cstheme="majorHAnsi"/>
                <w:color w:val="000000"/>
                <w:sz w:val="20"/>
                <w:szCs w:val="20"/>
              </w:rPr>
            </w:pPr>
            <w:r w:rsidRPr="006C5A3E">
              <w:rPr>
                <w:rFonts w:asciiTheme="majorHAnsi" w:hAnsiTheme="majorHAnsi" w:cstheme="majorHAnsi"/>
                <w:color w:val="000000"/>
                <w:sz w:val="20"/>
                <w:szCs w:val="20"/>
              </w:rPr>
              <w:t>3b - Analyze principles, methods, value systems, and ethics of social issues confronting local and global communities.</w:t>
            </w:r>
          </w:p>
        </w:tc>
        <w:tc>
          <w:tcPr>
            <w:tcW w:w="3690" w:type="dxa"/>
          </w:tcPr>
          <w:p w14:paraId="5A9D788B" w14:textId="77777777" w:rsidR="009A4566" w:rsidRPr="006C5A3E" w:rsidRDefault="009A4566" w:rsidP="009A4566">
            <w:pPr>
              <w:ind w:left="-29"/>
              <w:rPr>
                <w:rFonts w:asciiTheme="majorHAnsi" w:hAnsiTheme="majorHAnsi" w:cstheme="majorHAnsi"/>
                <w:color w:val="000000"/>
                <w:sz w:val="20"/>
                <w:szCs w:val="20"/>
              </w:rPr>
            </w:pPr>
          </w:p>
        </w:tc>
      </w:tr>
      <w:tr w:rsidR="009A4566" w:rsidRPr="006C5A3E" w14:paraId="37253A90" w14:textId="77777777" w:rsidTr="00A034F6">
        <w:trPr>
          <w:trHeight w:val="458"/>
        </w:trPr>
        <w:tc>
          <w:tcPr>
            <w:tcW w:w="3330" w:type="dxa"/>
            <w:vMerge/>
          </w:tcPr>
          <w:p w14:paraId="6BE1146A" w14:textId="77777777" w:rsidR="009A4566" w:rsidRPr="006C5A3E" w:rsidRDefault="009A4566" w:rsidP="009A4566">
            <w:pPr>
              <w:pStyle w:val="ListParagraph"/>
              <w:numPr>
                <w:ilvl w:val="0"/>
                <w:numId w:val="1"/>
              </w:numPr>
              <w:rPr>
                <w:rFonts w:asciiTheme="majorHAnsi" w:hAnsiTheme="majorHAnsi" w:cstheme="majorHAnsi"/>
                <w:color w:val="000000"/>
                <w:sz w:val="20"/>
                <w:szCs w:val="20"/>
              </w:rPr>
            </w:pPr>
          </w:p>
        </w:tc>
        <w:tc>
          <w:tcPr>
            <w:tcW w:w="3240" w:type="dxa"/>
          </w:tcPr>
          <w:p w14:paraId="34D928BC" w14:textId="0A7D0318" w:rsidR="009A4566" w:rsidRPr="006C5A3E" w:rsidRDefault="009A4566" w:rsidP="009A4566">
            <w:pPr>
              <w:rPr>
                <w:rFonts w:asciiTheme="majorHAnsi" w:hAnsiTheme="majorHAnsi" w:cstheme="majorHAnsi"/>
                <w:color w:val="000000"/>
                <w:sz w:val="20"/>
                <w:szCs w:val="20"/>
              </w:rPr>
            </w:pPr>
            <w:r w:rsidRPr="006C5A3E">
              <w:rPr>
                <w:rFonts w:asciiTheme="majorHAnsi" w:hAnsiTheme="majorHAnsi" w:cstheme="majorHAnsi"/>
                <w:color w:val="000000"/>
                <w:sz w:val="20"/>
                <w:szCs w:val="20"/>
              </w:rPr>
              <w:t xml:space="preserve">4b - </w:t>
            </w:r>
            <w:r w:rsidRPr="006C5A3E">
              <w:rPr>
                <w:rFonts w:asciiTheme="majorHAnsi" w:hAnsiTheme="majorHAnsi" w:cstheme="majorHAnsi"/>
                <w:sz w:val="20"/>
                <w:szCs w:val="20"/>
              </w:rPr>
              <w:t>Demonstrate activities, techniques, or behaviors that promote intellectual or cultural growth</w:t>
            </w:r>
          </w:p>
        </w:tc>
        <w:tc>
          <w:tcPr>
            <w:tcW w:w="3690" w:type="dxa"/>
          </w:tcPr>
          <w:p w14:paraId="09FC8273" w14:textId="77777777" w:rsidR="009A4566" w:rsidRPr="006C5A3E" w:rsidRDefault="009A4566" w:rsidP="009A4566">
            <w:pPr>
              <w:ind w:left="-29"/>
              <w:rPr>
                <w:rFonts w:asciiTheme="majorHAnsi" w:hAnsiTheme="majorHAnsi" w:cstheme="majorHAnsi"/>
                <w:color w:val="000000"/>
                <w:sz w:val="20"/>
                <w:szCs w:val="20"/>
              </w:rPr>
            </w:pPr>
          </w:p>
        </w:tc>
      </w:tr>
      <w:tr w:rsidR="004B1E68" w:rsidRPr="006C5A3E" w14:paraId="5E4B6186" w14:textId="77777777" w:rsidTr="00A034F6">
        <w:tc>
          <w:tcPr>
            <w:tcW w:w="3330" w:type="dxa"/>
          </w:tcPr>
          <w:p w14:paraId="1769C15A" w14:textId="77777777" w:rsidR="004B1E68" w:rsidRPr="006C5A3E" w:rsidRDefault="004B1E68" w:rsidP="00747DD4">
            <w:pPr>
              <w:pStyle w:val="ListParagraph"/>
              <w:numPr>
                <w:ilvl w:val="0"/>
                <w:numId w:val="1"/>
              </w:numPr>
              <w:rPr>
                <w:rFonts w:asciiTheme="majorHAnsi" w:hAnsiTheme="majorHAnsi" w:cstheme="majorHAnsi"/>
                <w:sz w:val="20"/>
                <w:szCs w:val="20"/>
              </w:rPr>
            </w:pPr>
            <w:r w:rsidRPr="006C5A3E">
              <w:rPr>
                <w:rFonts w:asciiTheme="majorHAnsi" w:hAnsiTheme="majorHAnsi" w:cstheme="majorHAnsi"/>
                <w:sz w:val="20"/>
                <w:szCs w:val="20"/>
              </w:rPr>
              <w:t xml:space="preserve">Is there a meaningful writing component? </w:t>
            </w:r>
          </w:p>
        </w:tc>
        <w:tc>
          <w:tcPr>
            <w:tcW w:w="3240" w:type="dxa"/>
          </w:tcPr>
          <w:p w14:paraId="4F2B5F9A" w14:textId="77777777" w:rsidR="004B1E68" w:rsidRPr="006C5A3E" w:rsidRDefault="004B1E68" w:rsidP="00747DD4">
            <w:pPr>
              <w:ind w:left="68"/>
              <w:rPr>
                <w:rFonts w:asciiTheme="majorHAnsi" w:hAnsiTheme="majorHAnsi" w:cstheme="majorHAnsi"/>
                <w:sz w:val="20"/>
                <w:szCs w:val="20"/>
              </w:rPr>
            </w:pPr>
          </w:p>
        </w:tc>
        <w:tc>
          <w:tcPr>
            <w:tcW w:w="3690" w:type="dxa"/>
          </w:tcPr>
          <w:p w14:paraId="4DFF82D7" w14:textId="77777777" w:rsidR="004B1E68" w:rsidRPr="006C5A3E" w:rsidRDefault="004B1E68" w:rsidP="00747DD4">
            <w:pPr>
              <w:ind w:left="-29"/>
              <w:rPr>
                <w:rFonts w:asciiTheme="majorHAnsi" w:hAnsiTheme="majorHAnsi" w:cstheme="majorHAnsi"/>
                <w:sz w:val="20"/>
                <w:szCs w:val="20"/>
              </w:rPr>
            </w:pPr>
          </w:p>
        </w:tc>
      </w:tr>
      <w:tr w:rsidR="004B1E68" w:rsidRPr="006C5A3E" w14:paraId="038DF78B" w14:textId="77777777" w:rsidTr="00A034F6">
        <w:tc>
          <w:tcPr>
            <w:tcW w:w="3330" w:type="dxa"/>
          </w:tcPr>
          <w:p w14:paraId="0CE92F58" w14:textId="77777777" w:rsidR="004B1E68" w:rsidRPr="006C5A3E" w:rsidRDefault="004B1E68" w:rsidP="00747DD4">
            <w:pPr>
              <w:pStyle w:val="ListParagraph"/>
              <w:numPr>
                <w:ilvl w:val="0"/>
                <w:numId w:val="1"/>
              </w:numPr>
              <w:rPr>
                <w:rFonts w:asciiTheme="majorHAnsi" w:hAnsiTheme="majorHAnsi" w:cstheme="majorHAnsi"/>
                <w:sz w:val="20"/>
                <w:szCs w:val="20"/>
              </w:rPr>
            </w:pPr>
            <w:r w:rsidRPr="006C5A3E">
              <w:rPr>
                <w:rFonts w:asciiTheme="majorHAnsi" w:hAnsiTheme="majorHAnsi" w:cstheme="majorHAnsi"/>
                <w:sz w:val="20"/>
                <w:szCs w:val="20"/>
              </w:rPr>
              <w:t>Is the mapping of methods of evaluation to the GE SLOs reasonable</w:t>
            </w:r>
          </w:p>
        </w:tc>
        <w:tc>
          <w:tcPr>
            <w:tcW w:w="3240" w:type="dxa"/>
          </w:tcPr>
          <w:p w14:paraId="68C9F864" w14:textId="77777777" w:rsidR="004B1E68" w:rsidRPr="006C5A3E" w:rsidRDefault="004B1E68" w:rsidP="00747DD4">
            <w:pPr>
              <w:ind w:left="68"/>
              <w:rPr>
                <w:rFonts w:asciiTheme="majorHAnsi" w:hAnsiTheme="majorHAnsi" w:cstheme="majorHAnsi"/>
                <w:sz w:val="20"/>
                <w:szCs w:val="20"/>
              </w:rPr>
            </w:pPr>
          </w:p>
        </w:tc>
        <w:tc>
          <w:tcPr>
            <w:tcW w:w="3690" w:type="dxa"/>
          </w:tcPr>
          <w:p w14:paraId="274B01BA" w14:textId="77777777" w:rsidR="004B1E68" w:rsidRPr="006C5A3E" w:rsidRDefault="004B1E68" w:rsidP="00747DD4">
            <w:pPr>
              <w:ind w:left="-29"/>
              <w:rPr>
                <w:rFonts w:asciiTheme="majorHAnsi" w:hAnsiTheme="majorHAnsi" w:cstheme="majorHAnsi"/>
                <w:sz w:val="20"/>
                <w:szCs w:val="20"/>
              </w:rPr>
            </w:pPr>
          </w:p>
        </w:tc>
      </w:tr>
    </w:tbl>
    <w:p w14:paraId="785E4118" w14:textId="77777777" w:rsidR="004B1E68" w:rsidRPr="006C5A3E" w:rsidRDefault="004B1E68" w:rsidP="004B1E68">
      <w:pPr>
        <w:pStyle w:val="ListParagraph"/>
        <w:rPr>
          <w:rFonts w:asciiTheme="majorHAnsi" w:hAnsiTheme="majorHAnsi" w:cstheme="majorHAnsi"/>
          <w:sz w:val="20"/>
          <w:szCs w:val="20"/>
        </w:rPr>
      </w:pPr>
    </w:p>
    <w:p w14:paraId="5D6F4FA0" w14:textId="77777777" w:rsidR="00205D3D" w:rsidRPr="006C5A3E" w:rsidRDefault="00205D3D" w:rsidP="00205D3D">
      <w:pPr>
        <w:widowControl w:val="0"/>
        <w:autoSpaceDE w:val="0"/>
        <w:autoSpaceDN w:val="0"/>
        <w:adjustRightInd w:val="0"/>
        <w:spacing w:after="240" w:line="240" w:lineRule="auto"/>
        <w:rPr>
          <w:rFonts w:asciiTheme="majorHAnsi" w:eastAsiaTheme="minorEastAsia" w:hAnsiTheme="majorHAnsi" w:cstheme="majorHAnsi"/>
          <w:b/>
          <w:sz w:val="18"/>
          <w:szCs w:val="18"/>
        </w:rPr>
      </w:pPr>
      <w:r w:rsidRPr="006C5A3E">
        <w:rPr>
          <w:rFonts w:asciiTheme="majorHAnsi" w:eastAsiaTheme="minorEastAsia" w:hAnsiTheme="majorHAnsi" w:cstheme="majorHAnsi"/>
          <w:b/>
          <w:sz w:val="18"/>
          <w:szCs w:val="18"/>
        </w:rPr>
        <w:t>Review Result: A= Approve (No discussion at Senate), AF = Approved &amp; Forward to Senate, IC = Incomplete (return to originator), R = Reject (return to originator)</w:t>
      </w:r>
    </w:p>
    <w:tbl>
      <w:tblPr>
        <w:tblStyle w:val="TableGrid"/>
        <w:tblW w:w="0" w:type="auto"/>
        <w:tblLook w:val="04A0" w:firstRow="1" w:lastRow="0" w:firstColumn="1" w:lastColumn="0" w:noHBand="0" w:noVBand="1"/>
      </w:tblPr>
      <w:tblGrid>
        <w:gridCol w:w="1162"/>
        <w:gridCol w:w="1166"/>
        <w:gridCol w:w="1171"/>
        <w:gridCol w:w="1172"/>
        <w:gridCol w:w="1166"/>
        <w:gridCol w:w="1166"/>
        <w:gridCol w:w="1174"/>
        <w:gridCol w:w="1162"/>
        <w:gridCol w:w="1163"/>
      </w:tblGrid>
      <w:tr w:rsidR="00205D3D" w:rsidRPr="006C5A3E" w14:paraId="6E2AF7F8" w14:textId="77777777" w:rsidTr="00B32BE7">
        <w:tc>
          <w:tcPr>
            <w:tcW w:w="1192" w:type="dxa"/>
          </w:tcPr>
          <w:p w14:paraId="124E8E03" w14:textId="77777777" w:rsidR="00205D3D" w:rsidRPr="006C5A3E" w:rsidRDefault="00205D3D" w:rsidP="00B32BE7">
            <w:pPr>
              <w:widowControl w:val="0"/>
              <w:autoSpaceDE w:val="0"/>
              <w:autoSpaceDN w:val="0"/>
              <w:adjustRightInd w:val="0"/>
              <w:spacing w:after="240" w:line="240" w:lineRule="auto"/>
              <w:jc w:val="center"/>
              <w:rPr>
                <w:rFonts w:asciiTheme="majorHAnsi" w:eastAsiaTheme="minorEastAsia" w:hAnsiTheme="majorHAnsi" w:cstheme="majorHAnsi"/>
                <w:b/>
                <w:sz w:val="18"/>
                <w:szCs w:val="18"/>
              </w:rPr>
            </w:pPr>
            <w:r w:rsidRPr="006C5A3E">
              <w:rPr>
                <w:rFonts w:asciiTheme="majorHAnsi" w:eastAsiaTheme="minorEastAsia" w:hAnsiTheme="majorHAnsi" w:cstheme="majorHAnsi"/>
                <w:b/>
                <w:sz w:val="18"/>
                <w:szCs w:val="18"/>
              </w:rPr>
              <w:t>AG (S)</w:t>
            </w:r>
          </w:p>
        </w:tc>
        <w:tc>
          <w:tcPr>
            <w:tcW w:w="1192" w:type="dxa"/>
          </w:tcPr>
          <w:p w14:paraId="6AAAB73E" w14:textId="77777777" w:rsidR="00205D3D" w:rsidRPr="006C5A3E" w:rsidRDefault="00205D3D" w:rsidP="00B32BE7">
            <w:pPr>
              <w:widowControl w:val="0"/>
              <w:autoSpaceDE w:val="0"/>
              <w:autoSpaceDN w:val="0"/>
              <w:adjustRightInd w:val="0"/>
              <w:spacing w:after="240" w:line="240" w:lineRule="auto"/>
              <w:jc w:val="center"/>
              <w:rPr>
                <w:rFonts w:asciiTheme="majorHAnsi" w:eastAsiaTheme="minorEastAsia" w:hAnsiTheme="majorHAnsi" w:cstheme="majorHAnsi"/>
                <w:b/>
                <w:sz w:val="18"/>
                <w:szCs w:val="18"/>
              </w:rPr>
            </w:pPr>
            <w:r w:rsidRPr="006C5A3E">
              <w:rPr>
                <w:rFonts w:asciiTheme="majorHAnsi" w:eastAsiaTheme="minorEastAsia" w:hAnsiTheme="majorHAnsi" w:cstheme="majorHAnsi"/>
                <w:b/>
                <w:sz w:val="18"/>
                <w:szCs w:val="18"/>
              </w:rPr>
              <w:t>CBA (S)</w:t>
            </w:r>
          </w:p>
        </w:tc>
        <w:tc>
          <w:tcPr>
            <w:tcW w:w="1192" w:type="dxa"/>
          </w:tcPr>
          <w:p w14:paraId="3244C188" w14:textId="77777777" w:rsidR="00205D3D" w:rsidRPr="006C5A3E" w:rsidRDefault="00205D3D" w:rsidP="00B32BE7">
            <w:pPr>
              <w:widowControl w:val="0"/>
              <w:autoSpaceDE w:val="0"/>
              <w:autoSpaceDN w:val="0"/>
              <w:adjustRightInd w:val="0"/>
              <w:spacing w:after="240" w:line="240" w:lineRule="auto"/>
              <w:jc w:val="center"/>
              <w:rPr>
                <w:rFonts w:asciiTheme="majorHAnsi" w:eastAsiaTheme="minorEastAsia" w:hAnsiTheme="majorHAnsi" w:cstheme="majorHAnsi"/>
                <w:b/>
                <w:sz w:val="18"/>
                <w:szCs w:val="18"/>
              </w:rPr>
            </w:pPr>
            <w:r w:rsidRPr="006C5A3E">
              <w:rPr>
                <w:rFonts w:asciiTheme="majorHAnsi" w:eastAsiaTheme="minorEastAsia" w:hAnsiTheme="majorHAnsi" w:cstheme="majorHAnsi"/>
                <w:b/>
                <w:sz w:val="18"/>
                <w:szCs w:val="18"/>
              </w:rPr>
              <w:t>CLASS (S)</w:t>
            </w:r>
          </w:p>
        </w:tc>
        <w:tc>
          <w:tcPr>
            <w:tcW w:w="1192" w:type="dxa"/>
          </w:tcPr>
          <w:p w14:paraId="12C1497D" w14:textId="77777777" w:rsidR="00205D3D" w:rsidRPr="006C5A3E" w:rsidRDefault="00205D3D" w:rsidP="00B32BE7">
            <w:pPr>
              <w:widowControl w:val="0"/>
              <w:autoSpaceDE w:val="0"/>
              <w:autoSpaceDN w:val="0"/>
              <w:adjustRightInd w:val="0"/>
              <w:spacing w:after="240" w:line="240" w:lineRule="auto"/>
              <w:jc w:val="center"/>
              <w:rPr>
                <w:rFonts w:asciiTheme="majorHAnsi" w:eastAsiaTheme="minorEastAsia" w:hAnsiTheme="majorHAnsi" w:cstheme="majorHAnsi"/>
                <w:b/>
                <w:sz w:val="18"/>
                <w:szCs w:val="18"/>
              </w:rPr>
            </w:pPr>
            <w:r w:rsidRPr="006C5A3E">
              <w:rPr>
                <w:rFonts w:asciiTheme="majorHAnsi" w:eastAsiaTheme="minorEastAsia" w:hAnsiTheme="majorHAnsi" w:cstheme="majorHAnsi"/>
                <w:b/>
                <w:sz w:val="18"/>
                <w:szCs w:val="18"/>
              </w:rPr>
              <w:t>CCHM (S)</w:t>
            </w:r>
          </w:p>
        </w:tc>
        <w:tc>
          <w:tcPr>
            <w:tcW w:w="1192" w:type="dxa"/>
          </w:tcPr>
          <w:p w14:paraId="1C2CF40A" w14:textId="77777777" w:rsidR="00205D3D" w:rsidRPr="006C5A3E" w:rsidRDefault="00205D3D" w:rsidP="00B32BE7">
            <w:pPr>
              <w:widowControl w:val="0"/>
              <w:autoSpaceDE w:val="0"/>
              <w:autoSpaceDN w:val="0"/>
              <w:adjustRightInd w:val="0"/>
              <w:spacing w:after="240" w:line="240" w:lineRule="auto"/>
              <w:jc w:val="center"/>
              <w:rPr>
                <w:rFonts w:asciiTheme="majorHAnsi" w:eastAsiaTheme="minorEastAsia" w:hAnsiTheme="majorHAnsi" w:cstheme="majorHAnsi"/>
                <w:b/>
                <w:sz w:val="18"/>
                <w:szCs w:val="18"/>
              </w:rPr>
            </w:pPr>
            <w:r w:rsidRPr="006C5A3E">
              <w:rPr>
                <w:rFonts w:asciiTheme="majorHAnsi" w:eastAsiaTheme="minorEastAsia" w:hAnsiTheme="majorHAnsi" w:cstheme="majorHAnsi"/>
                <w:b/>
                <w:sz w:val="18"/>
                <w:szCs w:val="18"/>
              </w:rPr>
              <w:t>CEIS (S)</w:t>
            </w:r>
          </w:p>
        </w:tc>
        <w:tc>
          <w:tcPr>
            <w:tcW w:w="1192" w:type="dxa"/>
          </w:tcPr>
          <w:p w14:paraId="039ADCE2" w14:textId="77777777" w:rsidR="00205D3D" w:rsidRPr="006C5A3E" w:rsidRDefault="00205D3D" w:rsidP="00B32BE7">
            <w:pPr>
              <w:widowControl w:val="0"/>
              <w:autoSpaceDE w:val="0"/>
              <w:autoSpaceDN w:val="0"/>
              <w:adjustRightInd w:val="0"/>
              <w:spacing w:after="240" w:line="240" w:lineRule="auto"/>
              <w:jc w:val="center"/>
              <w:rPr>
                <w:rFonts w:asciiTheme="majorHAnsi" w:eastAsiaTheme="minorEastAsia" w:hAnsiTheme="majorHAnsi" w:cstheme="majorHAnsi"/>
                <w:b/>
                <w:sz w:val="18"/>
                <w:szCs w:val="18"/>
              </w:rPr>
            </w:pPr>
            <w:r w:rsidRPr="006C5A3E">
              <w:rPr>
                <w:rFonts w:asciiTheme="majorHAnsi" w:eastAsiaTheme="minorEastAsia" w:hAnsiTheme="majorHAnsi" w:cstheme="majorHAnsi"/>
                <w:b/>
                <w:sz w:val="18"/>
                <w:szCs w:val="18"/>
              </w:rPr>
              <w:t>ENR (S)</w:t>
            </w:r>
          </w:p>
        </w:tc>
        <w:tc>
          <w:tcPr>
            <w:tcW w:w="1192" w:type="dxa"/>
          </w:tcPr>
          <w:p w14:paraId="671874E2" w14:textId="77777777" w:rsidR="00205D3D" w:rsidRPr="006C5A3E" w:rsidRDefault="00205D3D" w:rsidP="00B32BE7">
            <w:pPr>
              <w:widowControl w:val="0"/>
              <w:autoSpaceDE w:val="0"/>
              <w:autoSpaceDN w:val="0"/>
              <w:adjustRightInd w:val="0"/>
              <w:spacing w:after="240" w:line="240" w:lineRule="auto"/>
              <w:jc w:val="center"/>
              <w:rPr>
                <w:rFonts w:asciiTheme="majorHAnsi" w:eastAsiaTheme="minorEastAsia" w:hAnsiTheme="majorHAnsi" w:cstheme="majorHAnsi"/>
                <w:b/>
                <w:sz w:val="18"/>
                <w:szCs w:val="18"/>
              </w:rPr>
            </w:pPr>
            <w:r w:rsidRPr="006C5A3E">
              <w:rPr>
                <w:rFonts w:asciiTheme="majorHAnsi" w:eastAsiaTheme="minorEastAsia" w:hAnsiTheme="majorHAnsi" w:cstheme="majorHAnsi"/>
                <w:b/>
                <w:sz w:val="18"/>
                <w:szCs w:val="18"/>
              </w:rPr>
              <w:t>ENV(S)</w:t>
            </w:r>
          </w:p>
        </w:tc>
        <w:tc>
          <w:tcPr>
            <w:tcW w:w="1192" w:type="dxa"/>
          </w:tcPr>
          <w:p w14:paraId="3048F771" w14:textId="77777777" w:rsidR="00205D3D" w:rsidRPr="006C5A3E" w:rsidRDefault="00205D3D" w:rsidP="00B32BE7">
            <w:pPr>
              <w:widowControl w:val="0"/>
              <w:autoSpaceDE w:val="0"/>
              <w:autoSpaceDN w:val="0"/>
              <w:adjustRightInd w:val="0"/>
              <w:spacing w:after="240" w:line="240" w:lineRule="auto"/>
              <w:jc w:val="center"/>
              <w:rPr>
                <w:rFonts w:asciiTheme="majorHAnsi" w:eastAsiaTheme="minorEastAsia" w:hAnsiTheme="majorHAnsi" w:cstheme="majorHAnsi"/>
                <w:b/>
                <w:sz w:val="18"/>
                <w:szCs w:val="18"/>
              </w:rPr>
            </w:pPr>
            <w:r w:rsidRPr="006C5A3E">
              <w:rPr>
                <w:rFonts w:asciiTheme="majorHAnsi" w:eastAsiaTheme="minorEastAsia" w:hAnsiTheme="majorHAnsi" w:cstheme="majorHAnsi"/>
                <w:b/>
                <w:sz w:val="18"/>
                <w:szCs w:val="18"/>
              </w:rPr>
              <w:t>LIB (S)</w:t>
            </w:r>
          </w:p>
        </w:tc>
        <w:tc>
          <w:tcPr>
            <w:tcW w:w="1192" w:type="dxa"/>
          </w:tcPr>
          <w:p w14:paraId="7A496EC2" w14:textId="77777777" w:rsidR="00205D3D" w:rsidRPr="006C5A3E" w:rsidRDefault="00205D3D" w:rsidP="00B32BE7">
            <w:pPr>
              <w:widowControl w:val="0"/>
              <w:autoSpaceDE w:val="0"/>
              <w:autoSpaceDN w:val="0"/>
              <w:adjustRightInd w:val="0"/>
              <w:spacing w:after="240" w:line="240" w:lineRule="auto"/>
              <w:jc w:val="center"/>
              <w:rPr>
                <w:rFonts w:asciiTheme="majorHAnsi" w:eastAsiaTheme="minorEastAsia" w:hAnsiTheme="majorHAnsi" w:cstheme="majorHAnsi"/>
                <w:b/>
                <w:sz w:val="18"/>
                <w:szCs w:val="18"/>
              </w:rPr>
            </w:pPr>
            <w:r w:rsidRPr="006C5A3E">
              <w:rPr>
                <w:rFonts w:asciiTheme="majorHAnsi" w:eastAsiaTheme="minorEastAsia" w:hAnsiTheme="majorHAnsi" w:cstheme="majorHAnsi"/>
                <w:b/>
                <w:sz w:val="18"/>
                <w:szCs w:val="18"/>
              </w:rPr>
              <w:t>SCI (S)</w:t>
            </w:r>
          </w:p>
        </w:tc>
      </w:tr>
      <w:tr w:rsidR="00205D3D" w:rsidRPr="006C5A3E" w14:paraId="6F41499E" w14:textId="77777777" w:rsidTr="00B32BE7">
        <w:tc>
          <w:tcPr>
            <w:tcW w:w="1192" w:type="dxa"/>
          </w:tcPr>
          <w:p w14:paraId="0177C9BA" w14:textId="77777777" w:rsidR="00205D3D" w:rsidRPr="006C5A3E" w:rsidRDefault="00205D3D" w:rsidP="00B32BE7">
            <w:pPr>
              <w:widowControl w:val="0"/>
              <w:autoSpaceDE w:val="0"/>
              <w:autoSpaceDN w:val="0"/>
              <w:adjustRightInd w:val="0"/>
              <w:spacing w:after="240" w:line="240" w:lineRule="auto"/>
              <w:rPr>
                <w:rFonts w:asciiTheme="majorHAnsi" w:eastAsiaTheme="minorEastAsia" w:hAnsiTheme="majorHAnsi" w:cstheme="majorHAnsi"/>
                <w:b/>
                <w:sz w:val="18"/>
                <w:szCs w:val="18"/>
              </w:rPr>
            </w:pPr>
          </w:p>
        </w:tc>
        <w:tc>
          <w:tcPr>
            <w:tcW w:w="1192" w:type="dxa"/>
          </w:tcPr>
          <w:p w14:paraId="6B8295F2" w14:textId="77777777" w:rsidR="00205D3D" w:rsidRPr="006C5A3E" w:rsidRDefault="00205D3D" w:rsidP="00B32BE7">
            <w:pPr>
              <w:widowControl w:val="0"/>
              <w:autoSpaceDE w:val="0"/>
              <w:autoSpaceDN w:val="0"/>
              <w:adjustRightInd w:val="0"/>
              <w:spacing w:after="240" w:line="240" w:lineRule="auto"/>
              <w:rPr>
                <w:rFonts w:asciiTheme="majorHAnsi" w:eastAsiaTheme="minorEastAsia" w:hAnsiTheme="majorHAnsi" w:cstheme="majorHAnsi"/>
                <w:b/>
                <w:sz w:val="18"/>
                <w:szCs w:val="18"/>
              </w:rPr>
            </w:pPr>
          </w:p>
        </w:tc>
        <w:tc>
          <w:tcPr>
            <w:tcW w:w="1192" w:type="dxa"/>
          </w:tcPr>
          <w:p w14:paraId="0BBF59A8" w14:textId="77777777" w:rsidR="00205D3D" w:rsidRPr="006C5A3E" w:rsidRDefault="00205D3D" w:rsidP="00B32BE7">
            <w:pPr>
              <w:widowControl w:val="0"/>
              <w:autoSpaceDE w:val="0"/>
              <w:autoSpaceDN w:val="0"/>
              <w:adjustRightInd w:val="0"/>
              <w:spacing w:after="240" w:line="240" w:lineRule="auto"/>
              <w:rPr>
                <w:rFonts w:asciiTheme="majorHAnsi" w:eastAsiaTheme="minorEastAsia" w:hAnsiTheme="majorHAnsi" w:cstheme="majorHAnsi"/>
                <w:b/>
                <w:sz w:val="18"/>
                <w:szCs w:val="18"/>
              </w:rPr>
            </w:pPr>
          </w:p>
        </w:tc>
        <w:tc>
          <w:tcPr>
            <w:tcW w:w="1192" w:type="dxa"/>
          </w:tcPr>
          <w:p w14:paraId="46DF40E5" w14:textId="77777777" w:rsidR="00205D3D" w:rsidRPr="006C5A3E" w:rsidRDefault="00205D3D" w:rsidP="00B32BE7">
            <w:pPr>
              <w:widowControl w:val="0"/>
              <w:autoSpaceDE w:val="0"/>
              <w:autoSpaceDN w:val="0"/>
              <w:adjustRightInd w:val="0"/>
              <w:spacing w:after="240" w:line="240" w:lineRule="auto"/>
              <w:rPr>
                <w:rFonts w:asciiTheme="majorHAnsi" w:eastAsiaTheme="minorEastAsia" w:hAnsiTheme="majorHAnsi" w:cstheme="majorHAnsi"/>
                <w:b/>
                <w:sz w:val="18"/>
                <w:szCs w:val="18"/>
              </w:rPr>
            </w:pPr>
          </w:p>
        </w:tc>
        <w:tc>
          <w:tcPr>
            <w:tcW w:w="1192" w:type="dxa"/>
          </w:tcPr>
          <w:p w14:paraId="7DC97A3D" w14:textId="77777777" w:rsidR="00205D3D" w:rsidRPr="006C5A3E" w:rsidRDefault="00205D3D" w:rsidP="00B32BE7">
            <w:pPr>
              <w:widowControl w:val="0"/>
              <w:autoSpaceDE w:val="0"/>
              <w:autoSpaceDN w:val="0"/>
              <w:adjustRightInd w:val="0"/>
              <w:spacing w:after="240" w:line="240" w:lineRule="auto"/>
              <w:rPr>
                <w:rFonts w:asciiTheme="majorHAnsi" w:eastAsiaTheme="minorEastAsia" w:hAnsiTheme="majorHAnsi" w:cstheme="majorHAnsi"/>
                <w:b/>
                <w:sz w:val="18"/>
                <w:szCs w:val="18"/>
              </w:rPr>
            </w:pPr>
          </w:p>
        </w:tc>
        <w:tc>
          <w:tcPr>
            <w:tcW w:w="1192" w:type="dxa"/>
          </w:tcPr>
          <w:p w14:paraId="35636953" w14:textId="77777777" w:rsidR="00205D3D" w:rsidRPr="006C5A3E" w:rsidRDefault="00205D3D" w:rsidP="00B32BE7">
            <w:pPr>
              <w:widowControl w:val="0"/>
              <w:autoSpaceDE w:val="0"/>
              <w:autoSpaceDN w:val="0"/>
              <w:adjustRightInd w:val="0"/>
              <w:spacing w:after="240" w:line="240" w:lineRule="auto"/>
              <w:rPr>
                <w:rFonts w:asciiTheme="majorHAnsi" w:eastAsiaTheme="minorEastAsia" w:hAnsiTheme="majorHAnsi" w:cstheme="majorHAnsi"/>
                <w:b/>
                <w:sz w:val="18"/>
                <w:szCs w:val="18"/>
              </w:rPr>
            </w:pPr>
          </w:p>
        </w:tc>
        <w:tc>
          <w:tcPr>
            <w:tcW w:w="1192" w:type="dxa"/>
          </w:tcPr>
          <w:p w14:paraId="41CC7609" w14:textId="77777777" w:rsidR="00205D3D" w:rsidRPr="006C5A3E" w:rsidRDefault="00205D3D" w:rsidP="00B32BE7">
            <w:pPr>
              <w:widowControl w:val="0"/>
              <w:autoSpaceDE w:val="0"/>
              <w:autoSpaceDN w:val="0"/>
              <w:adjustRightInd w:val="0"/>
              <w:spacing w:after="240" w:line="240" w:lineRule="auto"/>
              <w:rPr>
                <w:rFonts w:asciiTheme="majorHAnsi" w:eastAsiaTheme="minorEastAsia" w:hAnsiTheme="majorHAnsi" w:cstheme="majorHAnsi"/>
                <w:b/>
                <w:sz w:val="18"/>
                <w:szCs w:val="18"/>
              </w:rPr>
            </w:pPr>
          </w:p>
        </w:tc>
        <w:tc>
          <w:tcPr>
            <w:tcW w:w="1192" w:type="dxa"/>
          </w:tcPr>
          <w:p w14:paraId="5BD90BCA" w14:textId="77777777" w:rsidR="00205D3D" w:rsidRPr="006C5A3E" w:rsidRDefault="00205D3D" w:rsidP="00B32BE7">
            <w:pPr>
              <w:widowControl w:val="0"/>
              <w:autoSpaceDE w:val="0"/>
              <w:autoSpaceDN w:val="0"/>
              <w:adjustRightInd w:val="0"/>
              <w:spacing w:after="240" w:line="240" w:lineRule="auto"/>
              <w:rPr>
                <w:rFonts w:asciiTheme="majorHAnsi" w:eastAsiaTheme="minorEastAsia" w:hAnsiTheme="majorHAnsi" w:cstheme="majorHAnsi"/>
                <w:b/>
                <w:sz w:val="18"/>
                <w:szCs w:val="18"/>
              </w:rPr>
            </w:pPr>
          </w:p>
        </w:tc>
        <w:tc>
          <w:tcPr>
            <w:tcW w:w="1192" w:type="dxa"/>
          </w:tcPr>
          <w:p w14:paraId="30A61A07" w14:textId="77777777" w:rsidR="00205D3D" w:rsidRPr="006C5A3E" w:rsidRDefault="00205D3D" w:rsidP="00B32BE7">
            <w:pPr>
              <w:widowControl w:val="0"/>
              <w:autoSpaceDE w:val="0"/>
              <w:autoSpaceDN w:val="0"/>
              <w:adjustRightInd w:val="0"/>
              <w:spacing w:after="240" w:line="240" w:lineRule="auto"/>
              <w:rPr>
                <w:rFonts w:asciiTheme="majorHAnsi" w:eastAsiaTheme="minorEastAsia" w:hAnsiTheme="majorHAnsi" w:cstheme="majorHAnsi"/>
                <w:b/>
                <w:sz w:val="18"/>
                <w:szCs w:val="18"/>
              </w:rPr>
            </w:pPr>
          </w:p>
        </w:tc>
      </w:tr>
    </w:tbl>
    <w:p w14:paraId="36B232C0" w14:textId="77777777" w:rsidR="00205D3D" w:rsidRPr="006C5A3E" w:rsidRDefault="00205D3D" w:rsidP="00205D3D">
      <w:pPr>
        <w:widowControl w:val="0"/>
        <w:autoSpaceDE w:val="0"/>
        <w:autoSpaceDN w:val="0"/>
        <w:adjustRightInd w:val="0"/>
        <w:spacing w:after="240" w:line="240" w:lineRule="auto"/>
        <w:rPr>
          <w:rFonts w:asciiTheme="majorHAnsi" w:eastAsiaTheme="minorEastAsia" w:hAnsiTheme="majorHAnsi" w:cstheme="majorHAnsi"/>
          <w:sz w:val="18"/>
          <w:szCs w:val="18"/>
        </w:rPr>
      </w:pPr>
      <w:r w:rsidRPr="006C5A3E">
        <w:rPr>
          <w:rFonts w:asciiTheme="majorHAnsi" w:eastAsiaTheme="minorEastAsia" w:hAnsiTheme="majorHAnsi" w:cstheme="majorHAnsi"/>
          <w:b/>
          <w:bCs/>
          <w:sz w:val="18"/>
          <w:szCs w:val="18"/>
        </w:rPr>
        <w:t xml:space="preserve">Expanded Course Outline Approval Checklist                     </w:t>
      </w:r>
      <w:r w:rsidRPr="006C5A3E">
        <w:rPr>
          <w:rFonts w:asciiTheme="majorHAnsi" w:eastAsiaTheme="minorEastAsia" w:hAnsiTheme="majorHAnsi" w:cstheme="majorHAnsi"/>
          <w:sz w:val="18"/>
          <w:szCs w:val="18"/>
        </w:rPr>
        <w:t>S = Subcommittee Committee Member</w:t>
      </w:r>
    </w:p>
    <w:p w14:paraId="19E18B90" w14:textId="77777777" w:rsidR="000B2FB1" w:rsidRPr="006C5A3E" w:rsidRDefault="000B2FB1">
      <w:pPr>
        <w:rPr>
          <w:rFonts w:asciiTheme="majorHAnsi" w:hAnsiTheme="majorHAnsi" w:cstheme="majorHAnsi"/>
          <w:sz w:val="20"/>
          <w:szCs w:val="20"/>
        </w:rPr>
      </w:pPr>
    </w:p>
    <w:sectPr w:rsidR="000B2FB1" w:rsidRPr="006C5A3E" w:rsidSect="006537DE">
      <w:pgSz w:w="12240" w:h="15840"/>
      <w:pgMar w:top="576" w:right="864" w:bottom="50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E96776"/>
    <w:multiLevelType w:val="hybridMultilevel"/>
    <w:tmpl w:val="EB4C5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68"/>
    <w:rsid w:val="000B2FB1"/>
    <w:rsid w:val="001C064A"/>
    <w:rsid w:val="00205D3D"/>
    <w:rsid w:val="00256754"/>
    <w:rsid w:val="003304FB"/>
    <w:rsid w:val="004B1E68"/>
    <w:rsid w:val="00541F03"/>
    <w:rsid w:val="005F4A75"/>
    <w:rsid w:val="00640D48"/>
    <w:rsid w:val="006537DE"/>
    <w:rsid w:val="00660970"/>
    <w:rsid w:val="0068271D"/>
    <w:rsid w:val="006962DF"/>
    <w:rsid w:val="006C5A3E"/>
    <w:rsid w:val="00716A6A"/>
    <w:rsid w:val="00884188"/>
    <w:rsid w:val="009A4566"/>
    <w:rsid w:val="00A034F6"/>
    <w:rsid w:val="00AC129A"/>
    <w:rsid w:val="00AD56DC"/>
    <w:rsid w:val="00D648CB"/>
    <w:rsid w:val="00F35B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654A7D"/>
  <w14:defaultImageDpi w14:val="300"/>
  <w15:docId w15:val="{B660D187-A13C-4CB4-9AB6-D0A1D1710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E68"/>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E68"/>
    <w:pPr>
      <w:ind w:left="720"/>
      <w:contextualSpacing/>
    </w:pPr>
  </w:style>
  <w:style w:type="table" w:styleId="TableGrid">
    <w:name w:val="Table Grid"/>
    <w:basedOn w:val="TableNormal"/>
    <w:uiPriority w:val="59"/>
    <w:rsid w:val="004B1E68"/>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B1E6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B1E68"/>
    <w:rPr>
      <w:rFonts w:ascii="Consolas" w:eastAsiaTheme="minorHAns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43972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2558</Characters>
  <Application>Microsoft Office Word</Application>
  <DocSecurity>0</DocSecurity>
  <Lines>21</Lines>
  <Paragraphs>5</Paragraphs>
  <ScaleCrop>false</ScaleCrop>
  <Company>Cal Poly Pomona</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Laura Massa</cp:lastModifiedBy>
  <cp:revision>2</cp:revision>
  <dcterms:created xsi:type="dcterms:W3CDTF">2020-12-04T22:46:00Z</dcterms:created>
  <dcterms:modified xsi:type="dcterms:W3CDTF">2020-12-04T22:46:00Z</dcterms:modified>
</cp:coreProperties>
</file>