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A92C0" w14:textId="6B542072" w:rsidR="00266AEA" w:rsidRPr="00C70C8F" w:rsidRDefault="00266AEA" w:rsidP="00266AEA">
      <w:pPr>
        <w:tabs>
          <w:tab w:val="decimal" w:pos="5040"/>
          <w:tab w:val="right" w:pos="9360"/>
        </w:tabs>
        <w:rPr>
          <w:b/>
          <w:sz w:val="32"/>
          <w:szCs w:val="32"/>
        </w:rPr>
      </w:pPr>
      <w:r w:rsidRPr="00C70C8F">
        <w:rPr>
          <w:b/>
          <w:sz w:val="32"/>
          <w:szCs w:val="32"/>
        </w:rPr>
        <w:t>GE Area: D4</w:t>
      </w:r>
      <w:r w:rsidRPr="00C70C8F">
        <w:rPr>
          <w:b/>
          <w:sz w:val="32"/>
          <w:szCs w:val="32"/>
        </w:rPr>
        <w:tab/>
        <w:t xml:space="preserve">Title: </w:t>
      </w:r>
      <w:r w:rsidRPr="00C70C8F">
        <w:rPr>
          <w:b/>
          <w:sz w:val="32"/>
          <w:szCs w:val="32"/>
        </w:rPr>
        <w:tab/>
        <w:t xml:space="preserve">Course #   </w:t>
      </w:r>
    </w:p>
    <w:p w14:paraId="77ACCC6D" w14:textId="77777777" w:rsidR="00266AEA" w:rsidRPr="006D763D" w:rsidRDefault="00266AEA" w:rsidP="00266AEA">
      <w:pPr>
        <w:tabs>
          <w:tab w:val="decimal" w:pos="5040"/>
          <w:tab w:val="right" w:pos="9090"/>
        </w:tabs>
        <w:rPr>
          <w:rFonts w:ascii="Arial" w:hAnsi="Arial" w:cs="Arial"/>
          <w:sz w:val="20"/>
          <w:szCs w:val="20"/>
        </w:rPr>
      </w:pPr>
      <w:r w:rsidRPr="006D763D">
        <w:rPr>
          <w:rFonts w:ascii="Arial" w:hAnsi="Arial" w:cs="Arial"/>
          <w:sz w:val="20"/>
          <w:szCs w:val="20"/>
        </w:rPr>
        <w:t xml:space="preserve">Reviewer’s Name: </w:t>
      </w:r>
    </w:p>
    <w:p w14:paraId="732FEE17" w14:textId="77777777" w:rsidR="004366C1" w:rsidRPr="006D763D" w:rsidRDefault="004366C1" w:rsidP="004366C1">
      <w:pPr>
        <w:spacing w:after="0" w:line="260" w:lineRule="exact"/>
        <w:ind w:right="72"/>
        <w:rPr>
          <w:rFonts w:ascii="Arial" w:hAnsi="Arial" w:cs="Arial"/>
          <w:sz w:val="20"/>
          <w:szCs w:val="20"/>
        </w:rPr>
      </w:pPr>
      <w:r w:rsidRPr="006D763D">
        <w:rPr>
          <w:rFonts w:ascii="Arial" w:eastAsia="Times New Roman" w:hAnsi="Arial" w:cs="Arial"/>
          <w:b/>
          <w:sz w:val="20"/>
          <w:szCs w:val="20"/>
        </w:rPr>
        <w:t>D4: Social Science Synthesis</w:t>
      </w:r>
    </w:p>
    <w:p w14:paraId="10CDCCFD" w14:textId="77777777" w:rsidR="004366C1" w:rsidRPr="006D763D" w:rsidRDefault="004366C1" w:rsidP="004366C1">
      <w:pPr>
        <w:spacing w:before="4" w:after="0" w:line="260" w:lineRule="exact"/>
        <w:ind w:right="72"/>
        <w:rPr>
          <w:rFonts w:ascii="Arial" w:eastAsia="Times New Roman" w:hAnsi="Arial" w:cs="Arial"/>
          <w:sz w:val="20"/>
          <w:szCs w:val="20"/>
        </w:rPr>
      </w:pPr>
      <w:r w:rsidRPr="006D763D">
        <w:rPr>
          <w:rFonts w:ascii="Arial" w:eastAsia="Times New Roman" w:hAnsi="Arial" w:cs="Arial"/>
          <w:sz w:val="20"/>
          <w:szCs w:val="20"/>
        </w:rPr>
        <w:t>Courses in this area shall focus on either a deeper or broader understanding of a set of concepts</w:t>
      </w:r>
      <w:r w:rsidRPr="006D763D">
        <w:rPr>
          <w:rFonts w:ascii="Arial" w:hAnsi="Arial" w:cs="Arial"/>
          <w:sz w:val="20"/>
          <w:szCs w:val="20"/>
        </w:rPr>
        <w:t xml:space="preserve"> </w:t>
      </w:r>
      <w:r w:rsidRPr="006D763D">
        <w:rPr>
          <w:rFonts w:ascii="Arial" w:eastAsia="Times New Roman" w:hAnsi="Arial" w:cs="Arial"/>
          <w:sz w:val="20"/>
          <w:szCs w:val="20"/>
        </w:rPr>
        <w:t>and</w:t>
      </w:r>
      <w:r w:rsidRPr="006D763D">
        <w:rPr>
          <w:rFonts w:ascii="Arial" w:hAnsi="Arial" w:cs="Arial"/>
          <w:sz w:val="20"/>
          <w:szCs w:val="20"/>
        </w:rPr>
        <w:t xml:space="preserve"> </w:t>
      </w:r>
      <w:r w:rsidRPr="006D763D">
        <w:rPr>
          <w:rFonts w:ascii="Arial" w:eastAsia="Times New Roman" w:hAnsi="Arial" w:cs="Arial"/>
          <w:sz w:val="20"/>
          <w:szCs w:val="20"/>
        </w:rPr>
        <w:t>their</w:t>
      </w:r>
      <w:r w:rsidRPr="006D763D">
        <w:rPr>
          <w:rFonts w:ascii="Arial" w:hAnsi="Arial" w:cs="Arial"/>
          <w:sz w:val="20"/>
          <w:szCs w:val="20"/>
        </w:rPr>
        <w:t xml:space="preserve"> </w:t>
      </w:r>
      <w:r w:rsidRPr="006D763D">
        <w:rPr>
          <w:rFonts w:ascii="Arial" w:eastAsia="Times New Roman" w:hAnsi="Arial" w:cs="Arial"/>
          <w:sz w:val="20"/>
          <w:szCs w:val="20"/>
        </w:rPr>
        <w:t>application</w:t>
      </w:r>
      <w:r w:rsidRPr="006D763D">
        <w:rPr>
          <w:rFonts w:ascii="Arial" w:hAnsi="Arial" w:cs="Arial"/>
          <w:sz w:val="20"/>
          <w:szCs w:val="20"/>
        </w:rPr>
        <w:t xml:space="preserve"> </w:t>
      </w:r>
      <w:r w:rsidRPr="006D763D">
        <w:rPr>
          <w:rFonts w:ascii="Arial" w:eastAsia="Times New Roman" w:hAnsi="Arial" w:cs="Arial"/>
          <w:sz w:val="20"/>
          <w:szCs w:val="20"/>
        </w:rPr>
        <w:t>in</w:t>
      </w:r>
      <w:r w:rsidRPr="006D763D">
        <w:rPr>
          <w:rFonts w:ascii="Arial" w:hAnsi="Arial" w:cs="Arial"/>
          <w:sz w:val="20"/>
          <w:szCs w:val="20"/>
        </w:rPr>
        <w:t xml:space="preserve"> </w:t>
      </w:r>
      <w:r w:rsidRPr="006D763D">
        <w:rPr>
          <w:rFonts w:ascii="Arial" w:eastAsia="Times New Roman" w:hAnsi="Arial" w:cs="Arial"/>
          <w:sz w:val="20"/>
          <w:szCs w:val="20"/>
        </w:rPr>
        <w:t>the</w:t>
      </w:r>
      <w:r w:rsidRPr="006D763D">
        <w:rPr>
          <w:rFonts w:ascii="Arial" w:hAnsi="Arial" w:cs="Arial"/>
          <w:sz w:val="20"/>
          <w:szCs w:val="20"/>
        </w:rPr>
        <w:t xml:space="preserve"> </w:t>
      </w:r>
      <w:r w:rsidRPr="006D763D">
        <w:rPr>
          <w:rFonts w:ascii="Arial" w:eastAsia="Times New Roman" w:hAnsi="Arial" w:cs="Arial"/>
          <w:sz w:val="20"/>
          <w:szCs w:val="20"/>
        </w:rPr>
        <w:t>solution</w:t>
      </w:r>
      <w:r w:rsidRPr="006D763D">
        <w:rPr>
          <w:rFonts w:ascii="Arial" w:hAnsi="Arial" w:cs="Arial"/>
          <w:sz w:val="20"/>
          <w:szCs w:val="20"/>
        </w:rPr>
        <w:t xml:space="preserve"> </w:t>
      </w:r>
      <w:r w:rsidRPr="006D763D">
        <w:rPr>
          <w:rFonts w:ascii="Arial" w:eastAsia="Times New Roman" w:hAnsi="Arial" w:cs="Arial"/>
          <w:sz w:val="20"/>
          <w:szCs w:val="20"/>
        </w:rPr>
        <w:t>of</w:t>
      </w:r>
      <w:r w:rsidRPr="006D763D">
        <w:rPr>
          <w:rFonts w:ascii="Arial" w:hAnsi="Arial" w:cs="Arial"/>
          <w:sz w:val="20"/>
          <w:szCs w:val="20"/>
        </w:rPr>
        <w:t xml:space="preserve"> </w:t>
      </w:r>
      <w:r w:rsidRPr="006D763D">
        <w:rPr>
          <w:rFonts w:ascii="Arial" w:eastAsia="Times New Roman" w:hAnsi="Arial" w:cs="Arial"/>
          <w:sz w:val="20"/>
          <w:szCs w:val="20"/>
        </w:rPr>
        <w:t>a</w:t>
      </w:r>
      <w:r w:rsidRPr="006D763D">
        <w:rPr>
          <w:rFonts w:ascii="Arial" w:hAnsi="Arial" w:cs="Arial"/>
          <w:sz w:val="20"/>
          <w:szCs w:val="20"/>
        </w:rPr>
        <w:t xml:space="preserve"> </w:t>
      </w:r>
      <w:r w:rsidRPr="006D763D">
        <w:rPr>
          <w:rFonts w:ascii="Arial" w:eastAsia="Times New Roman" w:hAnsi="Arial" w:cs="Arial"/>
          <w:sz w:val="20"/>
          <w:szCs w:val="20"/>
        </w:rPr>
        <w:t>variety</w:t>
      </w:r>
      <w:r w:rsidRPr="006D763D">
        <w:rPr>
          <w:rFonts w:ascii="Arial" w:hAnsi="Arial" w:cs="Arial"/>
          <w:sz w:val="20"/>
          <w:szCs w:val="20"/>
        </w:rPr>
        <w:t xml:space="preserve"> </w:t>
      </w:r>
      <w:r w:rsidRPr="006D763D">
        <w:rPr>
          <w:rFonts w:ascii="Arial" w:eastAsia="Times New Roman" w:hAnsi="Arial" w:cs="Arial"/>
          <w:sz w:val="20"/>
          <w:szCs w:val="20"/>
        </w:rPr>
        <w:t>of</w:t>
      </w:r>
      <w:r w:rsidRPr="006D763D">
        <w:rPr>
          <w:rFonts w:ascii="Arial" w:hAnsi="Arial" w:cs="Arial"/>
          <w:sz w:val="20"/>
          <w:szCs w:val="20"/>
        </w:rPr>
        <w:t xml:space="preserve"> </w:t>
      </w:r>
      <w:r w:rsidRPr="006D763D">
        <w:rPr>
          <w:rFonts w:ascii="Arial" w:eastAsia="Times New Roman" w:hAnsi="Arial" w:cs="Arial"/>
          <w:sz w:val="20"/>
          <w:szCs w:val="20"/>
        </w:rPr>
        <w:t>specific</w:t>
      </w:r>
      <w:r w:rsidRPr="006D763D">
        <w:rPr>
          <w:rFonts w:ascii="Arial" w:hAnsi="Arial" w:cs="Arial"/>
          <w:sz w:val="20"/>
          <w:szCs w:val="20"/>
        </w:rPr>
        <w:t xml:space="preserve"> </w:t>
      </w:r>
      <w:r w:rsidRPr="006D763D">
        <w:rPr>
          <w:rFonts w:ascii="Arial" w:eastAsia="Times New Roman" w:hAnsi="Arial" w:cs="Arial"/>
          <w:sz w:val="20"/>
          <w:szCs w:val="20"/>
        </w:rPr>
        <w:t>social</w:t>
      </w:r>
      <w:r w:rsidRPr="006D763D">
        <w:rPr>
          <w:rFonts w:ascii="Arial" w:hAnsi="Arial" w:cs="Arial"/>
          <w:sz w:val="20"/>
          <w:szCs w:val="20"/>
        </w:rPr>
        <w:t xml:space="preserve"> </w:t>
      </w:r>
      <w:r w:rsidRPr="006D763D">
        <w:rPr>
          <w:rFonts w:ascii="Arial" w:eastAsia="Times New Roman" w:hAnsi="Arial" w:cs="Arial"/>
          <w:sz w:val="20"/>
          <w:szCs w:val="20"/>
        </w:rPr>
        <w:t>problems.</w:t>
      </w:r>
      <w:r w:rsidRPr="006D763D">
        <w:rPr>
          <w:rFonts w:ascii="Arial" w:hAnsi="Arial" w:cs="Arial"/>
          <w:sz w:val="20"/>
          <w:szCs w:val="20"/>
        </w:rPr>
        <w:t xml:space="preserve"> </w:t>
      </w:r>
      <w:r w:rsidRPr="006D763D">
        <w:rPr>
          <w:rFonts w:ascii="Arial" w:eastAsia="Times New Roman" w:hAnsi="Arial" w:cs="Arial"/>
          <w:sz w:val="20"/>
          <w:szCs w:val="20"/>
        </w:rPr>
        <w:t>Courses shall take a more integrative approach and examine the historical development and cross-cultural</w:t>
      </w:r>
      <w:r w:rsidRPr="006D763D">
        <w:rPr>
          <w:rFonts w:ascii="Arial" w:eastAsia="Times New Roman" w:hAnsi="Arial" w:cs="Arial"/>
          <w:spacing w:val="47"/>
          <w:sz w:val="20"/>
          <w:szCs w:val="20"/>
        </w:rPr>
        <w:t xml:space="preserve"> </w:t>
      </w:r>
      <w:r w:rsidRPr="006D763D">
        <w:rPr>
          <w:rFonts w:ascii="Arial" w:eastAsia="Times New Roman" w:hAnsi="Arial" w:cs="Arial"/>
          <w:sz w:val="20"/>
          <w:szCs w:val="20"/>
        </w:rPr>
        <w:t>distribution</w:t>
      </w:r>
      <w:r w:rsidRPr="006D763D">
        <w:rPr>
          <w:rFonts w:ascii="Arial" w:eastAsia="Times New Roman" w:hAnsi="Arial" w:cs="Arial"/>
          <w:spacing w:val="47"/>
          <w:sz w:val="20"/>
          <w:szCs w:val="20"/>
        </w:rPr>
        <w:t xml:space="preserve"> </w:t>
      </w:r>
      <w:r w:rsidRPr="006D763D">
        <w:rPr>
          <w:rFonts w:ascii="Arial" w:eastAsia="Times New Roman" w:hAnsi="Arial" w:cs="Arial"/>
          <w:sz w:val="20"/>
          <w:szCs w:val="20"/>
        </w:rPr>
        <w:t>of</w:t>
      </w:r>
      <w:r w:rsidRPr="006D763D">
        <w:rPr>
          <w:rFonts w:ascii="Arial" w:eastAsia="Times New Roman" w:hAnsi="Arial" w:cs="Arial"/>
          <w:spacing w:val="47"/>
          <w:sz w:val="20"/>
          <w:szCs w:val="20"/>
        </w:rPr>
        <w:t xml:space="preserve"> </w:t>
      </w:r>
      <w:r w:rsidRPr="006D763D">
        <w:rPr>
          <w:rFonts w:ascii="Arial" w:eastAsia="Times New Roman" w:hAnsi="Arial" w:cs="Arial"/>
          <w:sz w:val="20"/>
          <w:szCs w:val="20"/>
        </w:rPr>
        <w:t>patterns</w:t>
      </w:r>
      <w:r w:rsidRPr="006D763D">
        <w:rPr>
          <w:rFonts w:ascii="Arial" w:eastAsia="Times New Roman" w:hAnsi="Arial" w:cs="Arial"/>
          <w:spacing w:val="47"/>
          <w:sz w:val="20"/>
          <w:szCs w:val="20"/>
        </w:rPr>
        <w:t xml:space="preserve"> </w:t>
      </w:r>
      <w:r w:rsidRPr="006D763D">
        <w:rPr>
          <w:rFonts w:ascii="Arial" w:eastAsia="Times New Roman" w:hAnsi="Arial" w:cs="Arial"/>
          <w:sz w:val="20"/>
          <w:szCs w:val="20"/>
        </w:rPr>
        <w:t>of</w:t>
      </w:r>
      <w:r w:rsidRPr="006D763D">
        <w:rPr>
          <w:rFonts w:ascii="Arial" w:eastAsia="Times New Roman" w:hAnsi="Arial" w:cs="Arial"/>
          <w:spacing w:val="47"/>
          <w:sz w:val="20"/>
          <w:szCs w:val="20"/>
        </w:rPr>
        <w:t xml:space="preserve"> </w:t>
      </w:r>
      <w:r w:rsidRPr="006D763D">
        <w:rPr>
          <w:rFonts w:ascii="Arial" w:eastAsia="Times New Roman" w:hAnsi="Arial" w:cs="Arial"/>
          <w:sz w:val="20"/>
          <w:szCs w:val="20"/>
        </w:rPr>
        <w:t>social</w:t>
      </w:r>
      <w:r w:rsidRPr="006D763D">
        <w:rPr>
          <w:rFonts w:ascii="Arial" w:eastAsia="Times New Roman" w:hAnsi="Arial" w:cs="Arial"/>
          <w:spacing w:val="47"/>
          <w:sz w:val="20"/>
          <w:szCs w:val="20"/>
        </w:rPr>
        <w:t xml:space="preserve"> </w:t>
      </w:r>
      <w:r w:rsidRPr="006D763D">
        <w:rPr>
          <w:rFonts w:ascii="Arial" w:eastAsia="Times New Roman" w:hAnsi="Arial" w:cs="Arial"/>
          <w:sz w:val="20"/>
          <w:szCs w:val="20"/>
        </w:rPr>
        <w:t>behavior</w:t>
      </w:r>
      <w:r w:rsidRPr="006D763D">
        <w:rPr>
          <w:rFonts w:ascii="Arial" w:eastAsia="Times New Roman" w:hAnsi="Arial" w:cs="Arial"/>
          <w:spacing w:val="47"/>
          <w:sz w:val="20"/>
          <w:szCs w:val="20"/>
        </w:rPr>
        <w:t xml:space="preserve"> </w:t>
      </w:r>
      <w:r w:rsidRPr="006D763D">
        <w:rPr>
          <w:rFonts w:ascii="Arial" w:eastAsia="Times New Roman" w:hAnsi="Arial" w:cs="Arial"/>
          <w:sz w:val="20"/>
          <w:szCs w:val="20"/>
        </w:rPr>
        <w:t>as</w:t>
      </w:r>
      <w:r w:rsidRPr="006D763D">
        <w:rPr>
          <w:rFonts w:ascii="Arial" w:eastAsia="Times New Roman" w:hAnsi="Arial" w:cs="Arial"/>
          <w:spacing w:val="47"/>
          <w:sz w:val="20"/>
          <w:szCs w:val="20"/>
        </w:rPr>
        <w:t xml:space="preserve"> </w:t>
      </w:r>
      <w:r w:rsidRPr="006D763D">
        <w:rPr>
          <w:rFonts w:ascii="Arial" w:eastAsia="Times New Roman" w:hAnsi="Arial" w:cs="Arial"/>
          <w:sz w:val="20"/>
          <w:szCs w:val="20"/>
        </w:rPr>
        <w:t>well</w:t>
      </w:r>
      <w:r w:rsidRPr="006D763D">
        <w:rPr>
          <w:rFonts w:ascii="Arial" w:eastAsia="Times New Roman" w:hAnsi="Arial" w:cs="Arial"/>
          <w:spacing w:val="47"/>
          <w:sz w:val="20"/>
          <w:szCs w:val="20"/>
        </w:rPr>
        <w:t xml:space="preserve"> </w:t>
      </w:r>
      <w:r w:rsidRPr="006D763D">
        <w:rPr>
          <w:rFonts w:ascii="Arial" w:eastAsia="Times New Roman" w:hAnsi="Arial" w:cs="Arial"/>
          <w:sz w:val="20"/>
          <w:szCs w:val="20"/>
        </w:rPr>
        <w:t>as</w:t>
      </w:r>
      <w:r w:rsidRPr="006D763D">
        <w:rPr>
          <w:rFonts w:ascii="Arial" w:eastAsia="Times New Roman" w:hAnsi="Arial" w:cs="Arial"/>
          <w:spacing w:val="47"/>
          <w:sz w:val="20"/>
          <w:szCs w:val="20"/>
        </w:rPr>
        <w:t xml:space="preserve"> </w:t>
      </w:r>
      <w:r w:rsidRPr="006D763D">
        <w:rPr>
          <w:rFonts w:ascii="Arial" w:eastAsia="Times New Roman" w:hAnsi="Arial" w:cs="Arial"/>
          <w:sz w:val="20"/>
          <w:szCs w:val="20"/>
        </w:rPr>
        <w:t>different</w:t>
      </w:r>
      <w:r w:rsidRPr="006D763D">
        <w:rPr>
          <w:rFonts w:ascii="Arial" w:eastAsia="Times New Roman" w:hAnsi="Arial" w:cs="Arial"/>
          <w:spacing w:val="47"/>
          <w:sz w:val="20"/>
          <w:szCs w:val="20"/>
        </w:rPr>
        <w:t xml:space="preserve"> </w:t>
      </w:r>
      <w:r w:rsidRPr="006D763D">
        <w:rPr>
          <w:rFonts w:ascii="Arial" w:eastAsia="Times New Roman" w:hAnsi="Arial" w:cs="Arial"/>
          <w:sz w:val="20"/>
          <w:szCs w:val="20"/>
        </w:rPr>
        <w:t>theories</w:t>
      </w:r>
      <w:r w:rsidRPr="006D763D">
        <w:rPr>
          <w:rFonts w:ascii="Arial" w:eastAsia="Times New Roman" w:hAnsi="Arial" w:cs="Arial"/>
          <w:spacing w:val="47"/>
          <w:sz w:val="20"/>
          <w:szCs w:val="20"/>
        </w:rPr>
        <w:t xml:space="preserve"> </w:t>
      </w:r>
      <w:r w:rsidRPr="006D763D">
        <w:rPr>
          <w:rFonts w:ascii="Arial" w:eastAsia="Times New Roman" w:hAnsi="Arial" w:cs="Arial"/>
          <w:sz w:val="20"/>
          <w:szCs w:val="20"/>
        </w:rPr>
        <w:t>and</w:t>
      </w:r>
      <w:r w:rsidRPr="006D763D">
        <w:rPr>
          <w:rFonts w:ascii="Arial" w:hAnsi="Arial" w:cs="Arial"/>
          <w:sz w:val="20"/>
          <w:szCs w:val="20"/>
        </w:rPr>
        <w:t xml:space="preserve"> </w:t>
      </w:r>
      <w:r w:rsidRPr="006D763D">
        <w:rPr>
          <w:rFonts w:ascii="Arial" w:eastAsia="Times New Roman" w:hAnsi="Arial" w:cs="Arial"/>
          <w:sz w:val="20"/>
          <w:szCs w:val="20"/>
        </w:rPr>
        <w:t>approaches in the field. The expanded course outline for courses proposed for this area must clearly indicate an integration of themes and issues within the social sciences (Also, see Guidelines for Upper Division Synthesis Courses)</w:t>
      </w:r>
    </w:p>
    <w:p w14:paraId="423DB74A" w14:textId="77777777" w:rsidR="00C025A6" w:rsidRPr="006D763D" w:rsidRDefault="00C025A6" w:rsidP="004366C1">
      <w:pPr>
        <w:spacing w:before="4" w:after="0" w:line="260" w:lineRule="exact"/>
        <w:ind w:right="72"/>
        <w:rPr>
          <w:rFonts w:ascii="Arial" w:eastAsia="Times New Roman" w:hAnsi="Arial" w:cs="Arial"/>
          <w:sz w:val="20"/>
          <w:szCs w:val="20"/>
        </w:rPr>
      </w:pPr>
    </w:p>
    <w:tbl>
      <w:tblPr>
        <w:tblStyle w:val="TableGrid"/>
        <w:tblW w:w="0" w:type="auto"/>
        <w:tblInd w:w="198" w:type="dxa"/>
        <w:tblLook w:val="04A0" w:firstRow="1" w:lastRow="0" w:firstColumn="1" w:lastColumn="0" w:noHBand="0" w:noVBand="1"/>
      </w:tblPr>
      <w:tblGrid>
        <w:gridCol w:w="3240"/>
        <w:gridCol w:w="3780"/>
        <w:gridCol w:w="3150"/>
      </w:tblGrid>
      <w:tr w:rsidR="004366C1" w:rsidRPr="006D763D" w14:paraId="7697EF30" w14:textId="77777777" w:rsidTr="00C025A6">
        <w:tc>
          <w:tcPr>
            <w:tcW w:w="3240" w:type="dxa"/>
            <w:vAlign w:val="center"/>
          </w:tcPr>
          <w:p w14:paraId="54AD6042" w14:textId="77777777" w:rsidR="004366C1" w:rsidRPr="006D763D" w:rsidRDefault="004366C1" w:rsidP="00747DD4">
            <w:pPr>
              <w:jc w:val="center"/>
              <w:rPr>
                <w:rFonts w:ascii="Arial" w:hAnsi="Arial" w:cs="Arial"/>
                <w:sz w:val="20"/>
                <w:szCs w:val="20"/>
              </w:rPr>
            </w:pPr>
            <w:r w:rsidRPr="006D763D">
              <w:rPr>
                <w:rFonts w:ascii="Arial" w:hAnsi="Arial" w:cs="Arial"/>
                <w:sz w:val="20"/>
                <w:szCs w:val="20"/>
              </w:rPr>
              <w:t>Rubric Question</w:t>
            </w:r>
          </w:p>
        </w:tc>
        <w:tc>
          <w:tcPr>
            <w:tcW w:w="3780" w:type="dxa"/>
            <w:vAlign w:val="center"/>
          </w:tcPr>
          <w:p w14:paraId="1A529DAB" w14:textId="77777777" w:rsidR="004366C1" w:rsidRPr="006D763D" w:rsidRDefault="004366C1" w:rsidP="00747DD4">
            <w:pPr>
              <w:ind w:left="68"/>
              <w:jc w:val="center"/>
              <w:rPr>
                <w:rFonts w:ascii="Arial" w:hAnsi="Arial" w:cs="Arial"/>
                <w:sz w:val="20"/>
                <w:szCs w:val="20"/>
              </w:rPr>
            </w:pPr>
            <w:r w:rsidRPr="006D763D">
              <w:rPr>
                <w:rFonts w:ascii="Arial" w:hAnsi="Arial" w:cs="Arial"/>
                <w:sz w:val="20"/>
                <w:szCs w:val="20"/>
              </w:rPr>
              <w:t>GE subareas or SLOs mapped</w:t>
            </w:r>
          </w:p>
        </w:tc>
        <w:tc>
          <w:tcPr>
            <w:tcW w:w="3150" w:type="dxa"/>
            <w:vAlign w:val="center"/>
          </w:tcPr>
          <w:p w14:paraId="6E776CDB" w14:textId="77777777" w:rsidR="004366C1" w:rsidRPr="006D763D" w:rsidRDefault="004366C1" w:rsidP="00747DD4">
            <w:pPr>
              <w:ind w:left="-29"/>
              <w:jc w:val="center"/>
              <w:rPr>
                <w:rFonts w:ascii="Arial" w:hAnsi="Arial" w:cs="Arial"/>
                <w:sz w:val="20"/>
                <w:szCs w:val="20"/>
              </w:rPr>
            </w:pPr>
            <w:r w:rsidRPr="006D763D">
              <w:rPr>
                <w:rFonts w:ascii="Arial" w:hAnsi="Arial" w:cs="Arial"/>
                <w:sz w:val="20"/>
                <w:szCs w:val="20"/>
              </w:rPr>
              <w:t>Comments</w:t>
            </w:r>
          </w:p>
        </w:tc>
      </w:tr>
      <w:tr w:rsidR="00675E26" w:rsidRPr="006D763D" w14:paraId="631C7B70" w14:textId="77777777" w:rsidTr="00C025A6">
        <w:trPr>
          <w:trHeight w:val="693"/>
        </w:trPr>
        <w:tc>
          <w:tcPr>
            <w:tcW w:w="3240" w:type="dxa"/>
            <w:vMerge w:val="restart"/>
          </w:tcPr>
          <w:p w14:paraId="3DBFF85A" w14:textId="77777777" w:rsidR="00675E26" w:rsidRPr="006D763D" w:rsidRDefault="00675E26" w:rsidP="00747DD4">
            <w:pPr>
              <w:pStyle w:val="ListParagraph"/>
              <w:numPr>
                <w:ilvl w:val="0"/>
                <w:numId w:val="1"/>
              </w:numPr>
              <w:rPr>
                <w:rFonts w:ascii="Arial" w:hAnsi="Arial" w:cs="Arial"/>
                <w:sz w:val="20"/>
                <w:szCs w:val="20"/>
              </w:rPr>
            </w:pPr>
            <w:r w:rsidRPr="006D763D">
              <w:rPr>
                <w:rFonts w:ascii="Arial" w:hAnsi="Arial" w:cs="Arial"/>
                <w:sz w:val="20"/>
                <w:szCs w:val="20"/>
              </w:rPr>
              <w:t>Does the course meet the description of the GE Subarea?</w:t>
            </w:r>
          </w:p>
        </w:tc>
        <w:tc>
          <w:tcPr>
            <w:tcW w:w="3780" w:type="dxa"/>
          </w:tcPr>
          <w:p w14:paraId="08A76E8A" w14:textId="23020C3A" w:rsidR="00675E26" w:rsidRPr="006D763D" w:rsidRDefault="00675E26" w:rsidP="00FE3E28">
            <w:pPr>
              <w:ind w:left="68"/>
              <w:rPr>
                <w:rFonts w:ascii="Arial" w:hAnsi="Arial" w:cs="Arial"/>
                <w:sz w:val="20"/>
                <w:szCs w:val="20"/>
              </w:rPr>
            </w:pPr>
            <w:r w:rsidRPr="006D763D">
              <w:rPr>
                <w:rFonts w:ascii="Arial" w:hAnsi="Arial" w:cs="Arial"/>
                <w:sz w:val="20"/>
                <w:szCs w:val="20"/>
              </w:rPr>
              <w:t>Meets the description of the GE Subarea</w:t>
            </w:r>
            <w:r w:rsidR="00FE3E28">
              <w:rPr>
                <w:rFonts w:ascii="Arial" w:hAnsi="Arial" w:cs="Arial"/>
                <w:sz w:val="20"/>
                <w:szCs w:val="20"/>
              </w:rPr>
              <w:t xml:space="preserve"> D4 (above) plus Additional Description of Area D</w:t>
            </w:r>
          </w:p>
        </w:tc>
        <w:tc>
          <w:tcPr>
            <w:tcW w:w="3150" w:type="dxa"/>
          </w:tcPr>
          <w:p w14:paraId="1A484F72" w14:textId="77777777" w:rsidR="00675E26" w:rsidRPr="006D763D" w:rsidRDefault="00675E26" w:rsidP="00747DD4">
            <w:pPr>
              <w:ind w:left="-29"/>
              <w:rPr>
                <w:rFonts w:ascii="Arial" w:hAnsi="Arial" w:cs="Arial"/>
                <w:sz w:val="20"/>
                <w:szCs w:val="20"/>
              </w:rPr>
            </w:pPr>
          </w:p>
        </w:tc>
      </w:tr>
      <w:tr w:rsidR="00675E26" w:rsidRPr="006D763D" w14:paraId="272923C7" w14:textId="77777777" w:rsidTr="00675E26">
        <w:trPr>
          <w:trHeight w:val="570"/>
        </w:trPr>
        <w:tc>
          <w:tcPr>
            <w:tcW w:w="3240" w:type="dxa"/>
            <w:vMerge/>
          </w:tcPr>
          <w:p w14:paraId="56B86C46" w14:textId="77777777" w:rsidR="00675E26" w:rsidRPr="006D763D" w:rsidRDefault="00675E26" w:rsidP="00747DD4">
            <w:pPr>
              <w:pStyle w:val="ListParagraph"/>
              <w:numPr>
                <w:ilvl w:val="0"/>
                <w:numId w:val="1"/>
              </w:numPr>
              <w:rPr>
                <w:rFonts w:ascii="Arial" w:hAnsi="Arial" w:cs="Arial"/>
                <w:sz w:val="20"/>
                <w:szCs w:val="20"/>
              </w:rPr>
            </w:pPr>
          </w:p>
        </w:tc>
        <w:tc>
          <w:tcPr>
            <w:tcW w:w="3780" w:type="dxa"/>
          </w:tcPr>
          <w:p w14:paraId="7C1EAB8B" w14:textId="46AEFB38" w:rsidR="00675E26" w:rsidRPr="006D763D" w:rsidRDefault="00675E26" w:rsidP="00675E26">
            <w:pPr>
              <w:pStyle w:val="PlainText"/>
              <w:rPr>
                <w:rFonts w:ascii="Arial" w:hAnsi="Arial" w:cs="Arial"/>
                <w:sz w:val="20"/>
                <w:szCs w:val="20"/>
              </w:rPr>
            </w:pPr>
            <w:r w:rsidRPr="006D763D">
              <w:rPr>
                <w:rFonts w:ascii="Arial" w:hAnsi="Arial" w:cs="Arial"/>
                <w:sz w:val="20"/>
                <w:szCs w:val="20"/>
              </w:rPr>
              <w:t>Meets Guidelines for GE Upper Division Synthesis Courses</w:t>
            </w:r>
          </w:p>
        </w:tc>
        <w:tc>
          <w:tcPr>
            <w:tcW w:w="3150" w:type="dxa"/>
          </w:tcPr>
          <w:p w14:paraId="3FA7E5D6" w14:textId="77777777" w:rsidR="00675E26" w:rsidRPr="006D763D" w:rsidRDefault="00675E26" w:rsidP="00747DD4">
            <w:pPr>
              <w:ind w:left="-29"/>
              <w:rPr>
                <w:rFonts w:ascii="Arial" w:hAnsi="Arial" w:cs="Arial"/>
                <w:sz w:val="20"/>
                <w:szCs w:val="20"/>
              </w:rPr>
            </w:pPr>
          </w:p>
        </w:tc>
      </w:tr>
      <w:tr w:rsidR="00675E26" w:rsidRPr="006D763D" w14:paraId="589E15F9" w14:textId="77777777" w:rsidTr="00675E26">
        <w:trPr>
          <w:trHeight w:val="305"/>
        </w:trPr>
        <w:tc>
          <w:tcPr>
            <w:tcW w:w="3240" w:type="dxa"/>
            <w:vMerge/>
          </w:tcPr>
          <w:p w14:paraId="01CE763A" w14:textId="77777777" w:rsidR="00675E26" w:rsidRPr="006D763D" w:rsidRDefault="00675E26" w:rsidP="00747DD4">
            <w:pPr>
              <w:pStyle w:val="ListParagraph"/>
              <w:numPr>
                <w:ilvl w:val="0"/>
                <w:numId w:val="1"/>
              </w:numPr>
              <w:rPr>
                <w:rFonts w:ascii="Arial" w:hAnsi="Arial" w:cs="Arial"/>
                <w:sz w:val="20"/>
                <w:szCs w:val="20"/>
              </w:rPr>
            </w:pPr>
          </w:p>
        </w:tc>
        <w:tc>
          <w:tcPr>
            <w:tcW w:w="3780" w:type="dxa"/>
          </w:tcPr>
          <w:p w14:paraId="689A2DDD" w14:textId="43D6C731" w:rsidR="00675E26" w:rsidRPr="006D763D" w:rsidRDefault="00675E26" w:rsidP="00675E26">
            <w:pPr>
              <w:pStyle w:val="PlainText"/>
              <w:rPr>
                <w:rFonts w:ascii="Arial" w:hAnsi="Arial" w:cs="Arial"/>
                <w:sz w:val="20"/>
                <w:szCs w:val="20"/>
              </w:rPr>
            </w:pPr>
            <w:r w:rsidRPr="006D763D">
              <w:rPr>
                <w:rFonts w:ascii="Arial" w:hAnsi="Arial" w:cs="Arial"/>
                <w:sz w:val="20"/>
                <w:szCs w:val="20"/>
              </w:rPr>
              <w:t>Will develop higher-order cognitive skills</w:t>
            </w:r>
          </w:p>
        </w:tc>
        <w:tc>
          <w:tcPr>
            <w:tcW w:w="3150" w:type="dxa"/>
          </w:tcPr>
          <w:p w14:paraId="7DDE6A39" w14:textId="77777777" w:rsidR="00675E26" w:rsidRPr="006D763D" w:rsidRDefault="00675E26" w:rsidP="00747DD4">
            <w:pPr>
              <w:ind w:left="-29"/>
              <w:rPr>
                <w:rFonts w:ascii="Arial" w:hAnsi="Arial" w:cs="Arial"/>
                <w:sz w:val="20"/>
                <w:szCs w:val="20"/>
              </w:rPr>
            </w:pPr>
          </w:p>
        </w:tc>
      </w:tr>
      <w:tr w:rsidR="004366C1" w:rsidRPr="006D763D" w14:paraId="74D83AA2" w14:textId="77777777" w:rsidTr="00C025A6">
        <w:trPr>
          <w:trHeight w:val="503"/>
        </w:trPr>
        <w:tc>
          <w:tcPr>
            <w:tcW w:w="3240" w:type="dxa"/>
            <w:vMerge w:val="restart"/>
          </w:tcPr>
          <w:p w14:paraId="704E4562" w14:textId="77777777" w:rsidR="004366C1" w:rsidRPr="006D763D" w:rsidRDefault="004366C1" w:rsidP="00747DD4">
            <w:pPr>
              <w:pStyle w:val="ListParagraph"/>
              <w:numPr>
                <w:ilvl w:val="0"/>
                <w:numId w:val="1"/>
              </w:numPr>
              <w:rPr>
                <w:rFonts w:ascii="Arial" w:hAnsi="Arial" w:cs="Arial"/>
                <w:sz w:val="20"/>
                <w:szCs w:val="20"/>
              </w:rPr>
            </w:pPr>
            <w:r w:rsidRPr="006D763D">
              <w:rPr>
                <w:rFonts w:ascii="Arial" w:hAnsi="Arial" w:cs="Arial"/>
                <w:color w:val="000000"/>
                <w:sz w:val="20"/>
                <w:szCs w:val="20"/>
              </w:rPr>
              <w:t>Does the course fully address the GE SLOs mapped to the subarea</w:t>
            </w:r>
            <w:r w:rsidRPr="006D763D">
              <w:rPr>
                <w:rFonts w:ascii="Arial" w:hAnsi="Arial" w:cs="Arial"/>
                <w:sz w:val="20"/>
                <w:szCs w:val="20"/>
              </w:rPr>
              <w:t>?</w:t>
            </w:r>
          </w:p>
        </w:tc>
        <w:tc>
          <w:tcPr>
            <w:tcW w:w="3780" w:type="dxa"/>
          </w:tcPr>
          <w:p w14:paraId="05C8B45F" w14:textId="77777777" w:rsidR="004366C1" w:rsidRPr="006D763D" w:rsidRDefault="004366C1" w:rsidP="00747DD4">
            <w:pPr>
              <w:rPr>
                <w:rFonts w:ascii="Arial" w:hAnsi="Arial" w:cs="Arial"/>
                <w:color w:val="000000"/>
                <w:sz w:val="20"/>
                <w:szCs w:val="20"/>
              </w:rPr>
            </w:pPr>
            <w:r w:rsidRPr="006D763D">
              <w:rPr>
                <w:rFonts w:ascii="Arial" w:hAnsi="Arial" w:cs="Arial"/>
                <w:color w:val="000000"/>
                <w:sz w:val="20"/>
                <w:szCs w:val="20"/>
              </w:rPr>
              <w:t>1a – Write effectively</w:t>
            </w:r>
          </w:p>
        </w:tc>
        <w:tc>
          <w:tcPr>
            <w:tcW w:w="3150" w:type="dxa"/>
          </w:tcPr>
          <w:p w14:paraId="7FBC460C" w14:textId="77777777" w:rsidR="004366C1" w:rsidRPr="006D763D" w:rsidRDefault="004366C1" w:rsidP="00747DD4">
            <w:pPr>
              <w:ind w:left="-29"/>
              <w:rPr>
                <w:rFonts w:ascii="Arial" w:hAnsi="Arial" w:cs="Arial"/>
                <w:color w:val="000000"/>
                <w:sz w:val="20"/>
                <w:szCs w:val="20"/>
              </w:rPr>
            </w:pPr>
          </w:p>
        </w:tc>
      </w:tr>
      <w:tr w:rsidR="004366C1" w:rsidRPr="006D763D" w14:paraId="13534F86" w14:textId="77777777" w:rsidTr="00C025A6">
        <w:trPr>
          <w:trHeight w:val="503"/>
        </w:trPr>
        <w:tc>
          <w:tcPr>
            <w:tcW w:w="3240" w:type="dxa"/>
            <w:vMerge/>
          </w:tcPr>
          <w:p w14:paraId="264E57DB" w14:textId="77777777" w:rsidR="004366C1" w:rsidRPr="006D763D" w:rsidRDefault="004366C1" w:rsidP="00747DD4">
            <w:pPr>
              <w:pStyle w:val="ListParagraph"/>
              <w:numPr>
                <w:ilvl w:val="0"/>
                <w:numId w:val="1"/>
              </w:numPr>
              <w:rPr>
                <w:rFonts w:ascii="Arial" w:hAnsi="Arial" w:cs="Arial"/>
                <w:color w:val="000000"/>
                <w:sz w:val="20"/>
                <w:szCs w:val="20"/>
              </w:rPr>
            </w:pPr>
          </w:p>
        </w:tc>
        <w:tc>
          <w:tcPr>
            <w:tcW w:w="3780" w:type="dxa"/>
          </w:tcPr>
          <w:p w14:paraId="268D41E7" w14:textId="77777777" w:rsidR="004366C1" w:rsidRPr="006D763D" w:rsidRDefault="004366C1" w:rsidP="00747DD4">
            <w:pPr>
              <w:pStyle w:val="PlainText"/>
              <w:rPr>
                <w:rFonts w:ascii="Arial" w:hAnsi="Arial" w:cs="Arial"/>
                <w:sz w:val="20"/>
                <w:szCs w:val="20"/>
              </w:rPr>
            </w:pPr>
            <w:r w:rsidRPr="006D763D">
              <w:rPr>
                <w:rFonts w:ascii="Arial" w:hAnsi="Arial" w:cs="Arial"/>
                <w:sz w:val="20"/>
                <w:szCs w:val="20"/>
              </w:rPr>
              <w:t>1b - Speak effectively to various audiences</w:t>
            </w:r>
          </w:p>
        </w:tc>
        <w:tc>
          <w:tcPr>
            <w:tcW w:w="3150" w:type="dxa"/>
          </w:tcPr>
          <w:p w14:paraId="1426107D" w14:textId="77777777" w:rsidR="004366C1" w:rsidRPr="006D763D" w:rsidRDefault="004366C1" w:rsidP="00747DD4">
            <w:pPr>
              <w:ind w:left="-29"/>
              <w:rPr>
                <w:rFonts w:ascii="Arial" w:hAnsi="Arial" w:cs="Arial"/>
                <w:color w:val="000000"/>
                <w:sz w:val="20"/>
                <w:szCs w:val="20"/>
              </w:rPr>
            </w:pPr>
          </w:p>
        </w:tc>
      </w:tr>
      <w:tr w:rsidR="004366C1" w:rsidRPr="006D763D" w14:paraId="3AF59EE3" w14:textId="77777777" w:rsidTr="00C025A6">
        <w:trPr>
          <w:trHeight w:val="503"/>
        </w:trPr>
        <w:tc>
          <w:tcPr>
            <w:tcW w:w="3240" w:type="dxa"/>
            <w:vMerge/>
          </w:tcPr>
          <w:p w14:paraId="7E1E7F6C" w14:textId="77777777" w:rsidR="004366C1" w:rsidRPr="006D763D" w:rsidRDefault="004366C1" w:rsidP="00747DD4">
            <w:pPr>
              <w:pStyle w:val="ListParagraph"/>
              <w:numPr>
                <w:ilvl w:val="0"/>
                <w:numId w:val="1"/>
              </w:numPr>
              <w:rPr>
                <w:rFonts w:ascii="Arial" w:hAnsi="Arial" w:cs="Arial"/>
                <w:color w:val="000000"/>
                <w:sz w:val="20"/>
                <w:szCs w:val="20"/>
              </w:rPr>
            </w:pPr>
          </w:p>
        </w:tc>
        <w:tc>
          <w:tcPr>
            <w:tcW w:w="3780" w:type="dxa"/>
          </w:tcPr>
          <w:p w14:paraId="730B57D4" w14:textId="77777777" w:rsidR="004366C1" w:rsidRPr="006D763D" w:rsidRDefault="004366C1" w:rsidP="00747DD4">
            <w:pPr>
              <w:pStyle w:val="PlainText"/>
              <w:rPr>
                <w:rFonts w:ascii="Arial" w:hAnsi="Arial" w:cs="Arial"/>
                <w:sz w:val="20"/>
                <w:szCs w:val="20"/>
              </w:rPr>
            </w:pPr>
            <w:r w:rsidRPr="006D763D">
              <w:rPr>
                <w:rFonts w:ascii="Arial" w:hAnsi="Arial" w:cs="Arial"/>
                <w:sz w:val="20"/>
                <w:szCs w:val="20"/>
              </w:rPr>
              <w:t>1c - Find, evaluate, use, and share information effectively and ethically</w:t>
            </w:r>
          </w:p>
        </w:tc>
        <w:tc>
          <w:tcPr>
            <w:tcW w:w="3150" w:type="dxa"/>
          </w:tcPr>
          <w:p w14:paraId="15355B20" w14:textId="77777777" w:rsidR="004366C1" w:rsidRPr="006D763D" w:rsidRDefault="004366C1" w:rsidP="00747DD4">
            <w:pPr>
              <w:ind w:left="-29"/>
              <w:rPr>
                <w:rFonts w:ascii="Arial" w:hAnsi="Arial" w:cs="Arial"/>
                <w:color w:val="000000"/>
                <w:sz w:val="20"/>
                <w:szCs w:val="20"/>
              </w:rPr>
            </w:pPr>
          </w:p>
        </w:tc>
      </w:tr>
      <w:tr w:rsidR="004366C1" w:rsidRPr="006D763D" w14:paraId="1BF91A87" w14:textId="77777777" w:rsidTr="00C025A6">
        <w:trPr>
          <w:trHeight w:val="503"/>
        </w:trPr>
        <w:tc>
          <w:tcPr>
            <w:tcW w:w="3240" w:type="dxa"/>
            <w:vMerge/>
          </w:tcPr>
          <w:p w14:paraId="7BDD3025" w14:textId="77777777" w:rsidR="004366C1" w:rsidRPr="006D763D" w:rsidRDefault="004366C1" w:rsidP="00747DD4">
            <w:pPr>
              <w:pStyle w:val="ListParagraph"/>
              <w:numPr>
                <w:ilvl w:val="0"/>
                <w:numId w:val="1"/>
              </w:numPr>
              <w:rPr>
                <w:rFonts w:ascii="Arial" w:hAnsi="Arial" w:cs="Arial"/>
                <w:color w:val="000000"/>
                <w:sz w:val="20"/>
                <w:szCs w:val="20"/>
              </w:rPr>
            </w:pPr>
          </w:p>
        </w:tc>
        <w:tc>
          <w:tcPr>
            <w:tcW w:w="3780" w:type="dxa"/>
          </w:tcPr>
          <w:p w14:paraId="6F8CF8CB" w14:textId="77777777" w:rsidR="004366C1" w:rsidRPr="006D763D" w:rsidRDefault="004366C1" w:rsidP="00747DD4">
            <w:pPr>
              <w:pStyle w:val="PlainText"/>
              <w:rPr>
                <w:rFonts w:ascii="Arial" w:hAnsi="Arial" w:cs="Arial"/>
                <w:sz w:val="20"/>
                <w:szCs w:val="20"/>
              </w:rPr>
            </w:pPr>
            <w:r w:rsidRPr="006D763D">
              <w:rPr>
                <w:rFonts w:ascii="Arial" w:hAnsi="Arial" w:cs="Arial"/>
                <w:sz w:val="20"/>
                <w:szCs w:val="20"/>
              </w:rPr>
              <w:t>1d - Construct arguments based on sound evidence and reasoning to support an opinion or conclusion</w:t>
            </w:r>
          </w:p>
        </w:tc>
        <w:tc>
          <w:tcPr>
            <w:tcW w:w="3150" w:type="dxa"/>
          </w:tcPr>
          <w:p w14:paraId="0E317F9B" w14:textId="77777777" w:rsidR="004366C1" w:rsidRPr="006D763D" w:rsidRDefault="004366C1" w:rsidP="00747DD4">
            <w:pPr>
              <w:ind w:left="-29"/>
              <w:rPr>
                <w:rFonts w:ascii="Arial" w:hAnsi="Arial" w:cs="Arial"/>
                <w:color w:val="000000"/>
                <w:sz w:val="20"/>
                <w:szCs w:val="20"/>
              </w:rPr>
            </w:pPr>
          </w:p>
        </w:tc>
      </w:tr>
      <w:tr w:rsidR="004366C1" w:rsidRPr="006D763D" w14:paraId="5FB93FC3" w14:textId="77777777" w:rsidTr="00C025A6">
        <w:trPr>
          <w:trHeight w:val="503"/>
        </w:trPr>
        <w:tc>
          <w:tcPr>
            <w:tcW w:w="3240" w:type="dxa"/>
            <w:vMerge/>
          </w:tcPr>
          <w:p w14:paraId="3E7B6FE1" w14:textId="77777777" w:rsidR="004366C1" w:rsidRPr="006D763D" w:rsidRDefault="004366C1" w:rsidP="00747DD4">
            <w:pPr>
              <w:pStyle w:val="ListParagraph"/>
              <w:numPr>
                <w:ilvl w:val="0"/>
                <w:numId w:val="1"/>
              </w:numPr>
              <w:rPr>
                <w:rFonts w:ascii="Arial" w:hAnsi="Arial" w:cs="Arial"/>
                <w:color w:val="000000"/>
                <w:sz w:val="20"/>
                <w:szCs w:val="20"/>
              </w:rPr>
            </w:pPr>
          </w:p>
        </w:tc>
        <w:tc>
          <w:tcPr>
            <w:tcW w:w="3780" w:type="dxa"/>
          </w:tcPr>
          <w:p w14:paraId="207FE57B" w14:textId="77777777" w:rsidR="004366C1" w:rsidRPr="006D763D" w:rsidRDefault="004366C1" w:rsidP="00747DD4">
            <w:pPr>
              <w:pStyle w:val="PlainText"/>
              <w:rPr>
                <w:rFonts w:ascii="Arial" w:hAnsi="Arial" w:cs="Arial"/>
                <w:sz w:val="20"/>
                <w:szCs w:val="20"/>
              </w:rPr>
            </w:pPr>
            <w:r w:rsidRPr="006D763D">
              <w:rPr>
                <w:rFonts w:ascii="Arial" w:hAnsi="Arial" w:cs="Arial"/>
                <w:sz w:val="20"/>
                <w:szCs w:val="20"/>
              </w:rPr>
              <w:t>2d - Integrate concepts, examples, and theories from more than one discipline to identify problems, construct original ideas, and draw conclusions</w:t>
            </w:r>
          </w:p>
        </w:tc>
        <w:tc>
          <w:tcPr>
            <w:tcW w:w="3150" w:type="dxa"/>
          </w:tcPr>
          <w:p w14:paraId="659351E2" w14:textId="77777777" w:rsidR="004366C1" w:rsidRPr="006D763D" w:rsidRDefault="004366C1" w:rsidP="00747DD4">
            <w:pPr>
              <w:ind w:left="-29"/>
              <w:rPr>
                <w:rFonts w:ascii="Arial" w:hAnsi="Arial" w:cs="Arial"/>
                <w:color w:val="000000"/>
                <w:sz w:val="20"/>
                <w:szCs w:val="20"/>
              </w:rPr>
            </w:pPr>
          </w:p>
        </w:tc>
      </w:tr>
      <w:tr w:rsidR="004366C1" w:rsidRPr="006D763D" w14:paraId="37E59C8E" w14:textId="77777777" w:rsidTr="00C025A6">
        <w:trPr>
          <w:trHeight w:val="503"/>
        </w:trPr>
        <w:tc>
          <w:tcPr>
            <w:tcW w:w="3240" w:type="dxa"/>
            <w:vMerge/>
          </w:tcPr>
          <w:p w14:paraId="60D014EC" w14:textId="77777777" w:rsidR="004366C1" w:rsidRPr="006D763D" w:rsidRDefault="004366C1" w:rsidP="00747DD4">
            <w:pPr>
              <w:pStyle w:val="ListParagraph"/>
              <w:numPr>
                <w:ilvl w:val="0"/>
                <w:numId w:val="1"/>
              </w:numPr>
              <w:rPr>
                <w:rFonts w:ascii="Arial" w:hAnsi="Arial" w:cs="Arial"/>
                <w:color w:val="000000"/>
                <w:sz w:val="20"/>
                <w:szCs w:val="20"/>
              </w:rPr>
            </w:pPr>
          </w:p>
        </w:tc>
        <w:tc>
          <w:tcPr>
            <w:tcW w:w="3780" w:type="dxa"/>
          </w:tcPr>
          <w:p w14:paraId="29BF8FF5" w14:textId="77777777" w:rsidR="004366C1" w:rsidRPr="006D763D" w:rsidRDefault="004366C1" w:rsidP="00747DD4">
            <w:pPr>
              <w:pStyle w:val="PlainText"/>
              <w:rPr>
                <w:rFonts w:ascii="Arial" w:hAnsi="Arial" w:cs="Arial"/>
                <w:sz w:val="20"/>
                <w:szCs w:val="20"/>
              </w:rPr>
            </w:pPr>
            <w:r w:rsidRPr="006D763D">
              <w:rPr>
                <w:rFonts w:ascii="Arial" w:hAnsi="Arial" w:cs="Arial"/>
                <w:sz w:val="20"/>
                <w:szCs w:val="20"/>
              </w:rPr>
              <w:t>3a - Analyze the historical development of diverse cultures and the role they play in shaping core institutions and practices of individuals and societies</w:t>
            </w:r>
          </w:p>
        </w:tc>
        <w:tc>
          <w:tcPr>
            <w:tcW w:w="3150" w:type="dxa"/>
          </w:tcPr>
          <w:p w14:paraId="350264E6" w14:textId="77777777" w:rsidR="004366C1" w:rsidRPr="006D763D" w:rsidRDefault="004366C1" w:rsidP="00747DD4">
            <w:pPr>
              <w:ind w:left="-29"/>
              <w:rPr>
                <w:rFonts w:ascii="Arial" w:hAnsi="Arial" w:cs="Arial"/>
                <w:color w:val="000000"/>
                <w:sz w:val="20"/>
                <w:szCs w:val="20"/>
              </w:rPr>
            </w:pPr>
          </w:p>
        </w:tc>
      </w:tr>
      <w:tr w:rsidR="004366C1" w:rsidRPr="006D763D" w14:paraId="715B937B" w14:textId="77777777" w:rsidTr="00C025A6">
        <w:trPr>
          <w:trHeight w:val="503"/>
        </w:trPr>
        <w:tc>
          <w:tcPr>
            <w:tcW w:w="3240" w:type="dxa"/>
            <w:vMerge/>
          </w:tcPr>
          <w:p w14:paraId="7EB3B49F" w14:textId="77777777" w:rsidR="004366C1" w:rsidRPr="006D763D" w:rsidRDefault="004366C1" w:rsidP="00747DD4">
            <w:pPr>
              <w:pStyle w:val="ListParagraph"/>
              <w:numPr>
                <w:ilvl w:val="0"/>
                <w:numId w:val="1"/>
              </w:numPr>
              <w:rPr>
                <w:rFonts w:ascii="Arial" w:hAnsi="Arial" w:cs="Arial"/>
                <w:color w:val="000000"/>
                <w:sz w:val="20"/>
                <w:szCs w:val="20"/>
              </w:rPr>
            </w:pPr>
          </w:p>
        </w:tc>
        <w:tc>
          <w:tcPr>
            <w:tcW w:w="3780" w:type="dxa"/>
          </w:tcPr>
          <w:p w14:paraId="4F252B13" w14:textId="77777777" w:rsidR="004366C1" w:rsidRPr="006D763D" w:rsidRDefault="004366C1" w:rsidP="00747DD4">
            <w:pPr>
              <w:pStyle w:val="PlainText"/>
              <w:rPr>
                <w:rFonts w:ascii="Arial" w:hAnsi="Arial" w:cs="Arial"/>
                <w:sz w:val="20"/>
                <w:szCs w:val="20"/>
              </w:rPr>
            </w:pPr>
            <w:r w:rsidRPr="006D763D">
              <w:rPr>
                <w:rFonts w:ascii="Arial" w:hAnsi="Arial" w:cs="Arial"/>
                <w:sz w:val="20"/>
                <w:szCs w:val="20"/>
              </w:rPr>
              <w:t xml:space="preserve">3b - Analyze principles, methods, value systems, and ethics of social issues confronting local and global communities </w:t>
            </w:r>
          </w:p>
        </w:tc>
        <w:tc>
          <w:tcPr>
            <w:tcW w:w="3150" w:type="dxa"/>
          </w:tcPr>
          <w:p w14:paraId="5FF266B8" w14:textId="77777777" w:rsidR="004366C1" w:rsidRPr="006D763D" w:rsidRDefault="004366C1" w:rsidP="00747DD4">
            <w:pPr>
              <w:ind w:left="-29"/>
              <w:rPr>
                <w:rFonts w:ascii="Arial" w:hAnsi="Arial" w:cs="Arial"/>
                <w:color w:val="000000"/>
                <w:sz w:val="20"/>
                <w:szCs w:val="20"/>
              </w:rPr>
            </w:pPr>
          </w:p>
        </w:tc>
      </w:tr>
      <w:tr w:rsidR="004366C1" w:rsidRPr="006D763D" w14:paraId="1E04BCD9" w14:textId="77777777" w:rsidTr="00C025A6">
        <w:tc>
          <w:tcPr>
            <w:tcW w:w="3240" w:type="dxa"/>
          </w:tcPr>
          <w:p w14:paraId="2EF07C2C" w14:textId="77777777" w:rsidR="004366C1" w:rsidRPr="006D763D" w:rsidRDefault="004366C1" w:rsidP="00747DD4">
            <w:pPr>
              <w:pStyle w:val="ListParagraph"/>
              <w:numPr>
                <w:ilvl w:val="0"/>
                <w:numId w:val="1"/>
              </w:numPr>
              <w:rPr>
                <w:rFonts w:ascii="Arial" w:hAnsi="Arial" w:cs="Arial"/>
                <w:sz w:val="20"/>
                <w:szCs w:val="20"/>
              </w:rPr>
            </w:pPr>
            <w:r w:rsidRPr="006D763D">
              <w:rPr>
                <w:rFonts w:ascii="Arial" w:hAnsi="Arial" w:cs="Arial"/>
                <w:sz w:val="20"/>
                <w:szCs w:val="20"/>
              </w:rPr>
              <w:t>Is the mapping of methods of evaluation to the GE SLOs reasonable</w:t>
            </w:r>
          </w:p>
        </w:tc>
        <w:tc>
          <w:tcPr>
            <w:tcW w:w="3780" w:type="dxa"/>
          </w:tcPr>
          <w:p w14:paraId="5AD86E89" w14:textId="77777777" w:rsidR="004366C1" w:rsidRPr="006D763D" w:rsidRDefault="004366C1" w:rsidP="00747DD4">
            <w:pPr>
              <w:ind w:left="68"/>
              <w:rPr>
                <w:rFonts w:ascii="Arial" w:hAnsi="Arial" w:cs="Arial"/>
                <w:sz w:val="20"/>
                <w:szCs w:val="20"/>
              </w:rPr>
            </w:pPr>
          </w:p>
        </w:tc>
        <w:tc>
          <w:tcPr>
            <w:tcW w:w="3150" w:type="dxa"/>
          </w:tcPr>
          <w:p w14:paraId="3C1573B5" w14:textId="77777777" w:rsidR="004366C1" w:rsidRPr="006D763D" w:rsidRDefault="004366C1" w:rsidP="00747DD4">
            <w:pPr>
              <w:ind w:left="-29"/>
              <w:rPr>
                <w:rFonts w:ascii="Arial" w:hAnsi="Arial" w:cs="Arial"/>
                <w:sz w:val="20"/>
                <w:szCs w:val="20"/>
              </w:rPr>
            </w:pPr>
          </w:p>
        </w:tc>
      </w:tr>
    </w:tbl>
    <w:p w14:paraId="36CD9F5C" w14:textId="77777777" w:rsidR="004366C1" w:rsidRDefault="004366C1" w:rsidP="004366C1">
      <w:pPr>
        <w:pStyle w:val="ListParagraph"/>
        <w:rPr>
          <w:rFonts w:ascii="Arial" w:hAnsi="Arial" w:cs="Arial"/>
          <w:sz w:val="20"/>
          <w:szCs w:val="20"/>
        </w:rPr>
      </w:pPr>
    </w:p>
    <w:p w14:paraId="592F5E60" w14:textId="77777777" w:rsidR="00486386" w:rsidRDefault="00486386" w:rsidP="00486386">
      <w:pPr>
        <w:widowControl w:val="0"/>
        <w:autoSpaceDE w:val="0"/>
        <w:autoSpaceDN w:val="0"/>
        <w:adjustRightInd w:val="0"/>
        <w:spacing w:after="240" w:line="240" w:lineRule="auto"/>
        <w:rPr>
          <w:rFonts w:ascii="Arial" w:eastAsiaTheme="minorEastAsia" w:hAnsi="Arial" w:cs="Calibri"/>
          <w:b/>
          <w:sz w:val="18"/>
          <w:szCs w:val="18"/>
        </w:rPr>
      </w:pPr>
      <w:r w:rsidRPr="00D942ED">
        <w:rPr>
          <w:rFonts w:ascii="Arial" w:eastAsiaTheme="minorEastAsia" w:hAnsi="Arial" w:cs="Calibri"/>
          <w:b/>
          <w:sz w:val="18"/>
          <w:szCs w:val="18"/>
        </w:rPr>
        <w:t>Review Result: A= Approve (No discussion at Senate), AF = Approved &amp; Forward to Senate, IC = Incomplete (return to originator), R = Reject (return to originator)</w:t>
      </w:r>
    </w:p>
    <w:tbl>
      <w:tblPr>
        <w:tblStyle w:val="TableGrid"/>
        <w:tblW w:w="0" w:type="auto"/>
        <w:tblLook w:val="04A0" w:firstRow="1" w:lastRow="0" w:firstColumn="1" w:lastColumn="0" w:noHBand="0" w:noVBand="1"/>
      </w:tblPr>
      <w:tblGrid>
        <w:gridCol w:w="1192"/>
        <w:gridCol w:w="1192"/>
        <w:gridCol w:w="1192"/>
        <w:gridCol w:w="1192"/>
        <w:gridCol w:w="1192"/>
        <w:gridCol w:w="1192"/>
        <w:gridCol w:w="1192"/>
        <w:gridCol w:w="1192"/>
        <w:gridCol w:w="1192"/>
      </w:tblGrid>
      <w:tr w:rsidR="00486386" w14:paraId="529D27CA" w14:textId="77777777" w:rsidTr="00B32BE7">
        <w:tc>
          <w:tcPr>
            <w:tcW w:w="1192" w:type="dxa"/>
          </w:tcPr>
          <w:p w14:paraId="09445F7F" w14:textId="77777777" w:rsidR="00486386" w:rsidRDefault="00486386" w:rsidP="00B32BE7">
            <w:pPr>
              <w:widowControl w:val="0"/>
              <w:autoSpaceDE w:val="0"/>
              <w:autoSpaceDN w:val="0"/>
              <w:adjustRightInd w:val="0"/>
              <w:spacing w:after="240" w:line="240" w:lineRule="auto"/>
              <w:jc w:val="center"/>
              <w:rPr>
                <w:rFonts w:ascii="Arial" w:eastAsiaTheme="minorEastAsia" w:hAnsi="Arial" w:cs="Times"/>
                <w:b/>
                <w:sz w:val="18"/>
                <w:szCs w:val="18"/>
              </w:rPr>
            </w:pPr>
            <w:r>
              <w:rPr>
                <w:rFonts w:ascii="Arial" w:eastAsiaTheme="minorEastAsia" w:hAnsi="Arial" w:cs="Times"/>
                <w:b/>
                <w:sz w:val="18"/>
                <w:szCs w:val="18"/>
              </w:rPr>
              <w:t>AG (S)</w:t>
            </w:r>
          </w:p>
        </w:tc>
        <w:tc>
          <w:tcPr>
            <w:tcW w:w="1192" w:type="dxa"/>
          </w:tcPr>
          <w:p w14:paraId="1F103DB7" w14:textId="77777777" w:rsidR="00486386" w:rsidRDefault="00486386" w:rsidP="00B32BE7">
            <w:pPr>
              <w:widowControl w:val="0"/>
              <w:autoSpaceDE w:val="0"/>
              <w:autoSpaceDN w:val="0"/>
              <w:adjustRightInd w:val="0"/>
              <w:spacing w:after="240" w:line="240" w:lineRule="auto"/>
              <w:jc w:val="center"/>
              <w:rPr>
                <w:rFonts w:ascii="Arial" w:eastAsiaTheme="minorEastAsia" w:hAnsi="Arial" w:cs="Times"/>
                <w:b/>
                <w:sz w:val="18"/>
                <w:szCs w:val="18"/>
              </w:rPr>
            </w:pPr>
            <w:r>
              <w:rPr>
                <w:rFonts w:ascii="Arial" w:eastAsiaTheme="minorEastAsia" w:hAnsi="Arial" w:cs="Times"/>
                <w:b/>
                <w:sz w:val="18"/>
                <w:szCs w:val="18"/>
              </w:rPr>
              <w:t>CBA (S)</w:t>
            </w:r>
          </w:p>
        </w:tc>
        <w:tc>
          <w:tcPr>
            <w:tcW w:w="1192" w:type="dxa"/>
          </w:tcPr>
          <w:p w14:paraId="4D1C6042" w14:textId="77777777" w:rsidR="00486386" w:rsidRDefault="00486386" w:rsidP="00B32BE7">
            <w:pPr>
              <w:widowControl w:val="0"/>
              <w:autoSpaceDE w:val="0"/>
              <w:autoSpaceDN w:val="0"/>
              <w:adjustRightInd w:val="0"/>
              <w:spacing w:after="240" w:line="240" w:lineRule="auto"/>
              <w:jc w:val="center"/>
              <w:rPr>
                <w:rFonts w:ascii="Arial" w:eastAsiaTheme="minorEastAsia" w:hAnsi="Arial" w:cs="Times"/>
                <w:b/>
                <w:sz w:val="18"/>
                <w:szCs w:val="18"/>
              </w:rPr>
            </w:pPr>
            <w:r>
              <w:rPr>
                <w:rFonts w:ascii="Arial" w:eastAsiaTheme="minorEastAsia" w:hAnsi="Arial" w:cs="Times"/>
                <w:b/>
                <w:sz w:val="18"/>
                <w:szCs w:val="18"/>
              </w:rPr>
              <w:t>CLASS (S)</w:t>
            </w:r>
          </w:p>
        </w:tc>
        <w:tc>
          <w:tcPr>
            <w:tcW w:w="1192" w:type="dxa"/>
          </w:tcPr>
          <w:p w14:paraId="54A5A874" w14:textId="77777777" w:rsidR="00486386" w:rsidRDefault="00486386" w:rsidP="00B32BE7">
            <w:pPr>
              <w:widowControl w:val="0"/>
              <w:autoSpaceDE w:val="0"/>
              <w:autoSpaceDN w:val="0"/>
              <w:adjustRightInd w:val="0"/>
              <w:spacing w:after="240" w:line="240" w:lineRule="auto"/>
              <w:jc w:val="center"/>
              <w:rPr>
                <w:rFonts w:ascii="Arial" w:eastAsiaTheme="minorEastAsia" w:hAnsi="Arial" w:cs="Times"/>
                <w:b/>
                <w:sz w:val="18"/>
                <w:szCs w:val="18"/>
              </w:rPr>
            </w:pPr>
            <w:r>
              <w:rPr>
                <w:rFonts w:ascii="Arial" w:eastAsiaTheme="minorEastAsia" w:hAnsi="Arial" w:cs="Times"/>
                <w:b/>
                <w:sz w:val="18"/>
                <w:szCs w:val="18"/>
              </w:rPr>
              <w:t>CCHM (S)</w:t>
            </w:r>
          </w:p>
        </w:tc>
        <w:tc>
          <w:tcPr>
            <w:tcW w:w="1192" w:type="dxa"/>
          </w:tcPr>
          <w:p w14:paraId="723C5A3B" w14:textId="77777777" w:rsidR="00486386" w:rsidRDefault="00486386" w:rsidP="00B32BE7">
            <w:pPr>
              <w:widowControl w:val="0"/>
              <w:autoSpaceDE w:val="0"/>
              <w:autoSpaceDN w:val="0"/>
              <w:adjustRightInd w:val="0"/>
              <w:spacing w:after="240" w:line="240" w:lineRule="auto"/>
              <w:jc w:val="center"/>
              <w:rPr>
                <w:rFonts w:ascii="Arial" w:eastAsiaTheme="minorEastAsia" w:hAnsi="Arial" w:cs="Times"/>
                <w:b/>
                <w:sz w:val="18"/>
                <w:szCs w:val="18"/>
              </w:rPr>
            </w:pPr>
            <w:r>
              <w:rPr>
                <w:rFonts w:ascii="Arial" w:eastAsiaTheme="minorEastAsia" w:hAnsi="Arial" w:cs="Times"/>
                <w:b/>
                <w:sz w:val="18"/>
                <w:szCs w:val="18"/>
              </w:rPr>
              <w:t>CEIS (S)</w:t>
            </w:r>
          </w:p>
        </w:tc>
        <w:tc>
          <w:tcPr>
            <w:tcW w:w="1192" w:type="dxa"/>
          </w:tcPr>
          <w:p w14:paraId="105E7F73" w14:textId="77777777" w:rsidR="00486386" w:rsidRDefault="00486386" w:rsidP="00B32BE7">
            <w:pPr>
              <w:widowControl w:val="0"/>
              <w:autoSpaceDE w:val="0"/>
              <w:autoSpaceDN w:val="0"/>
              <w:adjustRightInd w:val="0"/>
              <w:spacing w:after="240" w:line="240" w:lineRule="auto"/>
              <w:jc w:val="center"/>
              <w:rPr>
                <w:rFonts w:ascii="Arial" w:eastAsiaTheme="minorEastAsia" w:hAnsi="Arial" w:cs="Times"/>
                <w:b/>
                <w:sz w:val="18"/>
                <w:szCs w:val="18"/>
              </w:rPr>
            </w:pPr>
            <w:r>
              <w:rPr>
                <w:rFonts w:ascii="Arial" w:eastAsiaTheme="minorEastAsia" w:hAnsi="Arial" w:cs="Times"/>
                <w:b/>
                <w:sz w:val="18"/>
                <w:szCs w:val="18"/>
              </w:rPr>
              <w:t>ENR (S)</w:t>
            </w:r>
          </w:p>
        </w:tc>
        <w:tc>
          <w:tcPr>
            <w:tcW w:w="1192" w:type="dxa"/>
          </w:tcPr>
          <w:p w14:paraId="144C158E" w14:textId="77777777" w:rsidR="00486386" w:rsidRDefault="00486386" w:rsidP="00B32BE7">
            <w:pPr>
              <w:widowControl w:val="0"/>
              <w:autoSpaceDE w:val="0"/>
              <w:autoSpaceDN w:val="0"/>
              <w:adjustRightInd w:val="0"/>
              <w:spacing w:after="240" w:line="240" w:lineRule="auto"/>
              <w:jc w:val="center"/>
              <w:rPr>
                <w:rFonts w:ascii="Arial" w:eastAsiaTheme="minorEastAsia" w:hAnsi="Arial" w:cs="Times"/>
                <w:b/>
                <w:sz w:val="18"/>
                <w:szCs w:val="18"/>
              </w:rPr>
            </w:pPr>
            <w:proofErr w:type="gramStart"/>
            <w:r>
              <w:rPr>
                <w:rFonts w:ascii="Arial" w:eastAsiaTheme="minorEastAsia" w:hAnsi="Arial" w:cs="Times"/>
                <w:b/>
                <w:sz w:val="18"/>
                <w:szCs w:val="18"/>
              </w:rPr>
              <w:t>ENV(</w:t>
            </w:r>
            <w:proofErr w:type="gramEnd"/>
            <w:r>
              <w:rPr>
                <w:rFonts w:ascii="Arial" w:eastAsiaTheme="minorEastAsia" w:hAnsi="Arial" w:cs="Times"/>
                <w:b/>
                <w:sz w:val="18"/>
                <w:szCs w:val="18"/>
              </w:rPr>
              <w:t>S)</w:t>
            </w:r>
          </w:p>
        </w:tc>
        <w:tc>
          <w:tcPr>
            <w:tcW w:w="1192" w:type="dxa"/>
          </w:tcPr>
          <w:p w14:paraId="45E39398" w14:textId="77777777" w:rsidR="00486386" w:rsidRDefault="00486386" w:rsidP="00B32BE7">
            <w:pPr>
              <w:widowControl w:val="0"/>
              <w:autoSpaceDE w:val="0"/>
              <w:autoSpaceDN w:val="0"/>
              <w:adjustRightInd w:val="0"/>
              <w:spacing w:after="240" w:line="240" w:lineRule="auto"/>
              <w:jc w:val="center"/>
              <w:rPr>
                <w:rFonts w:ascii="Arial" w:eastAsiaTheme="minorEastAsia" w:hAnsi="Arial" w:cs="Times"/>
                <w:b/>
                <w:sz w:val="18"/>
                <w:szCs w:val="18"/>
              </w:rPr>
            </w:pPr>
            <w:r>
              <w:rPr>
                <w:rFonts w:ascii="Arial" w:eastAsiaTheme="minorEastAsia" w:hAnsi="Arial" w:cs="Times"/>
                <w:b/>
                <w:sz w:val="18"/>
                <w:szCs w:val="18"/>
              </w:rPr>
              <w:t>LIB (S)</w:t>
            </w:r>
          </w:p>
        </w:tc>
        <w:tc>
          <w:tcPr>
            <w:tcW w:w="1192" w:type="dxa"/>
          </w:tcPr>
          <w:p w14:paraId="46A21219" w14:textId="77777777" w:rsidR="00486386" w:rsidRDefault="00486386" w:rsidP="00B32BE7">
            <w:pPr>
              <w:widowControl w:val="0"/>
              <w:autoSpaceDE w:val="0"/>
              <w:autoSpaceDN w:val="0"/>
              <w:adjustRightInd w:val="0"/>
              <w:spacing w:after="240" w:line="240" w:lineRule="auto"/>
              <w:jc w:val="center"/>
              <w:rPr>
                <w:rFonts w:ascii="Arial" w:eastAsiaTheme="minorEastAsia" w:hAnsi="Arial" w:cs="Times"/>
                <w:b/>
                <w:sz w:val="18"/>
                <w:szCs w:val="18"/>
              </w:rPr>
            </w:pPr>
            <w:r>
              <w:rPr>
                <w:rFonts w:ascii="Arial" w:eastAsiaTheme="minorEastAsia" w:hAnsi="Arial" w:cs="Times"/>
                <w:b/>
                <w:sz w:val="18"/>
                <w:szCs w:val="18"/>
              </w:rPr>
              <w:t>SCI (S)</w:t>
            </w:r>
          </w:p>
        </w:tc>
      </w:tr>
      <w:tr w:rsidR="00486386" w14:paraId="68294C1E" w14:textId="77777777" w:rsidTr="00B32BE7">
        <w:tc>
          <w:tcPr>
            <w:tcW w:w="1192" w:type="dxa"/>
          </w:tcPr>
          <w:p w14:paraId="720C60FF" w14:textId="77777777" w:rsidR="00486386" w:rsidRDefault="00486386" w:rsidP="00B32BE7">
            <w:pPr>
              <w:widowControl w:val="0"/>
              <w:autoSpaceDE w:val="0"/>
              <w:autoSpaceDN w:val="0"/>
              <w:adjustRightInd w:val="0"/>
              <w:spacing w:after="240" w:line="240" w:lineRule="auto"/>
              <w:rPr>
                <w:rFonts w:ascii="Arial" w:eastAsiaTheme="minorEastAsia" w:hAnsi="Arial" w:cs="Times"/>
                <w:b/>
                <w:sz w:val="18"/>
                <w:szCs w:val="18"/>
              </w:rPr>
            </w:pPr>
          </w:p>
        </w:tc>
        <w:tc>
          <w:tcPr>
            <w:tcW w:w="1192" w:type="dxa"/>
          </w:tcPr>
          <w:p w14:paraId="5FF21710" w14:textId="77777777" w:rsidR="00486386" w:rsidRDefault="00486386" w:rsidP="00B32BE7">
            <w:pPr>
              <w:widowControl w:val="0"/>
              <w:autoSpaceDE w:val="0"/>
              <w:autoSpaceDN w:val="0"/>
              <w:adjustRightInd w:val="0"/>
              <w:spacing w:after="240" w:line="240" w:lineRule="auto"/>
              <w:rPr>
                <w:rFonts w:ascii="Arial" w:eastAsiaTheme="minorEastAsia" w:hAnsi="Arial" w:cs="Times"/>
                <w:b/>
                <w:sz w:val="18"/>
                <w:szCs w:val="18"/>
              </w:rPr>
            </w:pPr>
          </w:p>
        </w:tc>
        <w:tc>
          <w:tcPr>
            <w:tcW w:w="1192" w:type="dxa"/>
          </w:tcPr>
          <w:p w14:paraId="656BA78A" w14:textId="77777777" w:rsidR="00486386" w:rsidRDefault="00486386" w:rsidP="00B32BE7">
            <w:pPr>
              <w:widowControl w:val="0"/>
              <w:autoSpaceDE w:val="0"/>
              <w:autoSpaceDN w:val="0"/>
              <w:adjustRightInd w:val="0"/>
              <w:spacing w:after="240" w:line="240" w:lineRule="auto"/>
              <w:rPr>
                <w:rFonts w:ascii="Arial" w:eastAsiaTheme="minorEastAsia" w:hAnsi="Arial" w:cs="Times"/>
                <w:b/>
                <w:sz w:val="18"/>
                <w:szCs w:val="18"/>
              </w:rPr>
            </w:pPr>
          </w:p>
        </w:tc>
        <w:tc>
          <w:tcPr>
            <w:tcW w:w="1192" w:type="dxa"/>
          </w:tcPr>
          <w:p w14:paraId="6E073418" w14:textId="77777777" w:rsidR="00486386" w:rsidRDefault="00486386" w:rsidP="00B32BE7">
            <w:pPr>
              <w:widowControl w:val="0"/>
              <w:autoSpaceDE w:val="0"/>
              <w:autoSpaceDN w:val="0"/>
              <w:adjustRightInd w:val="0"/>
              <w:spacing w:after="240" w:line="240" w:lineRule="auto"/>
              <w:rPr>
                <w:rFonts w:ascii="Arial" w:eastAsiaTheme="minorEastAsia" w:hAnsi="Arial" w:cs="Times"/>
                <w:b/>
                <w:sz w:val="18"/>
                <w:szCs w:val="18"/>
              </w:rPr>
            </w:pPr>
          </w:p>
        </w:tc>
        <w:tc>
          <w:tcPr>
            <w:tcW w:w="1192" w:type="dxa"/>
          </w:tcPr>
          <w:p w14:paraId="25666A31" w14:textId="77777777" w:rsidR="00486386" w:rsidRDefault="00486386" w:rsidP="00B32BE7">
            <w:pPr>
              <w:widowControl w:val="0"/>
              <w:autoSpaceDE w:val="0"/>
              <w:autoSpaceDN w:val="0"/>
              <w:adjustRightInd w:val="0"/>
              <w:spacing w:after="240" w:line="240" w:lineRule="auto"/>
              <w:rPr>
                <w:rFonts w:ascii="Arial" w:eastAsiaTheme="minorEastAsia" w:hAnsi="Arial" w:cs="Times"/>
                <w:b/>
                <w:sz w:val="18"/>
                <w:szCs w:val="18"/>
              </w:rPr>
            </w:pPr>
          </w:p>
        </w:tc>
        <w:tc>
          <w:tcPr>
            <w:tcW w:w="1192" w:type="dxa"/>
          </w:tcPr>
          <w:p w14:paraId="65049BD0" w14:textId="77777777" w:rsidR="00486386" w:rsidRDefault="00486386" w:rsidP="00B32BE7">
            <w:pPr>
              <w:widowControl w:val="0"/>
              <w:autoSpaceDE w:val="0"/>
              <w:autoSpaceDN w:val="0"/>
              <w:adjustRightInd w:val="0"/>
              <w:spacing w:after="240" w:line="240" w:lineRule="auto"/>
              <w:rPr>
                <w:rFonts w:ascii="Arial" w:eastAsiaTheme="minorEastAsia" w:hAnsi="Arial" w:cs="Times"/>
                <w:b/>
                <w:sz w:val="18"/>
                <w:szCs w:val="18"/>
              </w:rPr>
            </w:pPr>
          </w:p>
        </w:tc>
        <w:tc>
          <w:tcPr>
            <w:tcW w:w="1192" w:type="dxa"/>
          </w:tcPr>
          <w:p w14:paraId="7CDA555F" w14:textId="77777777" w:rsidR="00486386" w:rsidRDefault="00486386" w:rsidP="00B32BE7">
            <w:pPr>
              <w:widowControl w:val="0"/>
              <w:autoSpaceDE w:val="0"/>
              <w:autoSpaceDN w:val="0"/>
              <w:adjustRightInd w:val="0"/>
              <w:spacing w:after="240" w:line="240" w:lineRule="auto"/>
              <w:rPr>
                <w:rFonts w:ascii="Arial" w:eastAsiaTheme="minorEastAsia" w:hAnsi="Arial" w:cs="Times"/>
                <w:b/>
                <w:sz w:val="18"/>
                <w:szCs w:val="18"/>
              </w:rPr>
            </w:pPr>
          </w:p>
        </w:tc>
        <w:tc>
          <w:tcPr>
            <w:tcW w:w="1192" w:type="dxa"/>
          </w:tcPr>
          <w:p w14:paraId="5F0A2368" w14:textId="77777777" w:rsidR="00486386" w:rsidRDefault="00486386" w:rsidP="00B32BE7">
            <w:pPr>
              <w:widowControl w:val="0"/>
              <w:autoSpaceDE w:val="0"/>
              <w:autoSpaceDN w:val="0"/>
              <w:adjustRightInd w:val="0"/>
              <w:spacing w:after="240" w:line="240" w:lineRule="auto"/>
              <w:rPr>
                <w:rFonts w:ascii="Arial" w:eastAsiaTheme="minorEastAsia" w:hAnsi="Arial" w:cs="Times"/>
                <w:b/>
                <w:sz w:val="18"/>
                <w:szCs w:val="18"/>
              </w:rPr>
            </w:pPr>
          </w:p>
        </w:tc>
        <w:tc>
          <w:tcPr>
            <w:tcW w:w="1192" w:type="dxa"/>
          </w:tcPr>
          <w:p w14:paraId="22FD3D67" w14:textId="77777777" w:rsidR="00486386" w:rsidRDefault="00486386" w:rsidP="00B32BE7">
            <w:pPr>
              <w:widowControl w:val="0"/>
              <w:autoSpaceDE w:val="0"/>
              <w:autoSpaceDN w:val="0"/>
              <w:adjustRightInd w:val="0"/>
              <w:spacing w:after="240" w:line="240" w:lineRule="auto"/>
              <w:rPr>
                <w:rFonts w:ascii="Arial" w:eastAsiaTheme="minorEastAsia" w:hAnsi="Arial" w:cs="Times"/>
                <w:b/>
                <w:sz w:val="18"/>
                <w:szCs w:val="18"/>
              </w:rPr>
            </w:pPr>
          </w:p>
        </w:tc>
      </w:tr>
    </w:tbl>
    <w:p w14:paraId="135A017A" w14:textId="77777777" w:rsidR="00486386" w:rsidRDefault="00486386" w:rsidP="00486386">
      <w:pPr>
        <w:widowControl w:val="0"/>
        <w:autoSpaceDE w:val="0"/>
        <w:autoSpaceDN w:val="0"/>
        <w:adjustRightInd w:val="0"/>
        <w:spacing w:after="240" w:line="240" w:lineRule="auto"/>
        <w:rPr>
          <w:rFonts w:ascii="Arial" w:eastAsiaTheme="minorEastAsia" w:hAnsi="Arial" w:cs="Calibri"/>
          <w:sz w:val="18"/>
          <w:szCs w:val="18"/>
        </w:rPr>
      </w:pPr>
      <w:r w:rsidRPr="00D942ED">
        <w:rPr>
          <w:rFonts w:ascii="Arial" w:eastAsiaTheme="minorEastAsia" w:hAnsi="Arial" w:cs="Times"/>
          <w:b/>
          <w:bCs/>
          <w:sz w:val="18"/>
          <w:szCs w:val="18"/>
        </w:rPr>
        <w:t xml:space="preserve">Expanded Course Outline Approval Checklist                     </w:t>
      </w:r>
      <w:r w:rsidRPr="00D942ED">
        <w:rPr>
          <w:rFonts w:ascii="Arial" w:eastAsiaTheme="minorEastAsia" w:hAnsi="Arial" w:cs="Calibri"/>
          <w:sz w:val="18"/>
          <w:szCs w:val="18"/>
        </w:rPr>
        <w:t>S = Subcommittee Committee Member</w:t>
      </w:r>
    </w:p>
    <w:p w14:paraId="3BAC39BA" w14:textId="77777777" w:rsidR="00486386" w:rsidRPr="006D763D" w:rsidRDefault="00486386" w:rsidP="004366C1">
      <w:pPr>
        <w:pStyle w:val="ListParagraph"/>
        <w:rPr>
          <w:rFonts w:ascii="Arial" w:hAnsi="Arial" w:cs="Arial"/>
          <w:sz w:val="20"/>
          <w:szCs w:val="20"/>
        </w:rPr>
      </w:pPr>
      <w:bookmarkStart w:id="0" w:name="_GoBack"/>
      <w:bookmarkEnd w:id="0"/>
    </w:p>
    <w:sectPr w:rsidR="00486386" w:rsidRPr="006D763D" w:rsidSect="00C025A6">
      <w:pgSz w:w="12240" w:h="15840"/>
      <w:pgMar w:top="432"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96776"/>
    <w:multiLevelType w:val="hybridMultilevel"/>
    <w:tmpl w:val="EB4C5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C1"/>
    <w:rsid w:val="000B2FB1"/>
    <w:rsid w:val="00266AEA"/>
    <w:rsid w:val="00354C97"/>
    <w:rsid w:val="004366C1"/>
    <w:rsid w:val="00486386"/>
    <w:rsid w:val="00675E26"/>
    <w:rsid w:val="006D763D"/>
    <w:rsid w:val="00C025A6"/>
    <w:rsid w:val="00C70C8F"/>
    <w:rsid w:val="00FE3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D62F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C1"/>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6C1"/>
    <w:pPr>
      <w:ind w:left="720"/>
      <w:contextualSpacing/>
    </w:pPr>
  </w:style>
  <w:style w:type="table" w:styleId="TableGrid">
    <w:name w:val="Table Grid"/>
    <w:basedOn w:val="TableNormal"/>
    <w:uiPriority w:val="59"/>
    <w:rsid w:val="004366C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4366C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366C1"/>
    <w:rPr>
      <w:rFonts w:ascii="Consolas" w:eastAsiaTheme="minorHAnsi" w:hAnsi="Consolas"/>
      <w:sz w:val="21"/>
      <w:szCs w:val="21"/>
    </w:rPr>
  </w:style>
  <w:style w:type="paragraph" w:styleId="BalloonText">
    <w:name w:val="Balloon Text"/>
    <w:basedOn w:val="Normal"/>
    <w:link w:val="BalloonTextChar"/>
    <w:uiPriority w:val="99"/>
    <w:semiHidden/>
    <w:unhideWhenUsed/>
    <w:rsid w:val="00675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E26"/>
    <w:rPr>
      <w:rFonts w:ascii="Tahoma" w:eastAsiaTheme="minorHAns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C1"/>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6C1"/>
    <w:pPr>
      <w:ind w:left="720"/>
      <w:contextualSpacing/>
    </w:pPr>
  </w:style>
  <w:style w:type="table" w:styleId="TableGrid">
    <w:name w:val="Table Grid"/>
    <w:basedOn w:val="TableNormal"/>
    <w:uiPriority w:val="59"/>
    <w:rsid w:val="004366C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4366C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366C1"/>
    <w:rPr>
      <w:rFonts w:ascii="Consolas" w:eastAsiaTheme="minorHAnsi" w:hAnsi="Consolas"/>
      <w:sz w:val="21"/>
      <w:szCs w:val="21"/>
    </w:rPr>
  </w:style>
  <w:style w:type="paragraph" w:styleId="BalloonText">
    <w:name w:val="Balloon Text"/>
    <w:basedOn w:val="Normal"/>
    <w:link w:val="BalloonTextChar"/>
    <w:uiPriority w:val="99"/>
    <w:semiHidden/>
    <w:unhideWhenUsed/>
    <w:rsid w:val="00675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E26"/>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319</Words>
  <Characters>1822</Characters>
  <Application>Microsoft Macintosh Word</Application>
  <DocSecurity>0</DocSecurity>
  <Lines>15</Lines>
  <Paragraphs>4</Paragraphs>
  <ScaleCrop>false</ScaleCrop>
  <Company>Cal Poly Pomona</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cp:lastModifiedBy>
  <cp:revision>8</cp:revision>
  <cp:lastPrinted>2016-03-03T21:36:00Z</cp:lastPrinted>
  <dcterms:created xsi:type="dcterms:W3CDTF">2016-03-03T21:20:00Z</dcterms:created>
  <dcterms:modified xsi:type="dcterms:W3CDTF">2016-03-03T23:13:00Z</dcterms:modified>
</cp:coreProperties>
</file>