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8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2240" w:h="15840"/>
          <w:pgMar w:top="300" w:bottom="0" w:left="1080" w:right="1440"/>
        </w:sectPr>
      </w:pPr>
    </w:p>
    <w:p>
      <w:pPr>
        <w:pStyle w:val="BodyText"/>
        <w:spacing w:before="216"/>
        <w:rPr>
          <w:rFonts w:ascii="Times New Roman"/>
          <w:sz w:val="22"/>
        </w:rPr>
      </w:pPr>
    </w:p>
    <w:p>
      <w:pPr>
        <w:pStyle w:val="Heading1"/>
      </w:pPr>
      <w:bookmarkStart w:name="Office of Faculty Affairs" w:id="1"/>
      <w:bookmarkEnd w:id="1"/>
      <w:r>
        <w:rPr>
          <w:b w:val="0"/>
        </w:rPr>
      </w:r>
      <w:r>
        <w:rPr/>
        <w:t>Office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Faculty</w:t>
      </w:r>
      <w:r>
        <w:rPr>
          <w:spacing w:val="-12"/>
        </w:rPr>
        <w:t> </w:t>
      </w:r>
      <w:r>
        <w:rPr>
          <w:spacing w:val="-2"/>
        </w:rPr>
        <w:t>Affairs</w:t>
      </w:r>
    </w:p>
    <w:p>
      <w:pPr>
        <w:spacing w:before="9"/>
        <w:ind w:left="1500" w:right="0" w:firstLine="0"/>
        <w:jc w:val="left"/>
        <w:rPr>
          <w:rFonts w:ascii="Calibri"/>
          <w:sz w:val="16"/>
        </w:rPr>
      </w:pPr>
      <w:r>
        <w:rPr>
          <w:rFonts w:ascii="Calibri"/>
          <w:spacing w:val="-4"/>
          <w:sz w:val="16"/>
        </w:rPr>
        <w:t>https://</w:t>
      </w:r>
      <w:hyperlink r:id="rId5">
        <w:r>
          <w:rPr>
            <w:rFonts w:ascii="Calibri"/>
            <w:spacing w:val="-4"/>
            <w:sz w:val="16"/>
          </w:rPr>
          <w:t>www.cpp.edu/faculty-</w:t>
        </w:r>
        <w:r>
          <w:rPr>
            <w:rFonts w:ascii="Calibri"/>
            <w:spacing w:val="-2"/>
            <w:sz w:val="16"/>
          </w:rPr>
          <w:t>affairs</w:t>
        </w:r>
      </w:hyperlink>
    </w:p>
    <w:p>
      <w:pPr>
        <w:pStyle w:val="Heading1"/>
        <w:spacing w:before="56"/>
      </w:pPr>
      <w:r>
        <w:rPr>
          <w:b w:val="0"/>
        </w:rPr>
        <w:br w:type="column"/>
      </w:r>
      <w:bookmarkStart w:name="Temporary Faculty Evaluation Form" w:id="2"/>
      <w:bookmarkEnd w:id="2"/>
      <w:r>
        <w:rPr>
          <w:b w:val="0"/>
        </w:rPr>
      </w:r>
      <w:r>
        <w:rPr>
          <w:spacing w:val="-2"/>
        </w:rPr>
        <w:t>Temporary</w:t>
      </w:r>
      <w:r>
        <w:rPr>
          <w:spacing w:val="-6"/>
        </w:rPr>
        <w:t> </w:t>
      </w:r>
      <w:r>
        <w:rPr>
          <w:spacing w:val="-2"/>
        </w:rPr>
        <w:t>Faculty</w:t>
      </w:r>
      <w:r>
        <w:rPr>
          <w:spacing w:val="-5"/>
        </w:rPr>
        <w:t> </w:t>
      </w:r>
      <w:r>
        <w:rPr>
          <w:spacing w:val="-2"/>
        </w:rPr>
        <w:t>Evaluation</w:t>
      </w:r>
      <w:r>
        <w:rPr>
          <w:spacing w:val="-9"/>
        </w:rPr>
        <w:t> </w:t>
      </w:r>
      <w:r>
        <w:rPr>
          <w:spacing w:val="-4"/>
        </w:rPr>
        <w:t>Form</w:t>
      </w:r>
    </w:p>
    <w:p>
      <w:pPr>
        <w:spacing w:line="235" w:lineRule="auto" w:before="136"/>
        <w:ind w:left="1528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pacing w:val="-2"/>
          <w:sz w:val="22"/>
        </w:rPr>
        <w:t>Dean’s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Evaluation</w:t>
      </w:r>
      <w:r>
        <w:rPr>
          <w:rFonts w:ascii="Calibri" w:hAnsi="Calibri"/>
          <w:b/>
          <w:spacing w:val="-9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for</w:t>
      </w:r>
      <w:r>
        <w:rPr>
          <w:rFonts w:ascii="Calibri" w:hAnsi="Calibri"/>
          <w:b/>
          <w:spacing w:val="-12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3-Year Appointment</w:t>
      </w:r>
    </w:p>
    <w:p>
      <w:pPr>
        <w:spacing w:after="0" w:line="235" w:lineRule="auto"/>
        <w:jc w:val="left"/>
        <w:rPr>
          <w:rFonts w:ascii="Calibri" w:hAnsi="Calibri"/>
          <w:b/>
          <w:sz w:val="22"/>
        </w:rPr>
        <w:sectPr>
          <w:type w:val="continuous"/>
          <w:pgSz w:w="12240" w:h="15840"/>
          <w:pgMar w:top="300" w:bottom="0" w:left="1080" w:right="1440"/>
          <w:cols w:num="2" w:equalWidth="0">
            <w:col w:w="3840" w:space="708"/>
            <w:col w:w="5172"/>
          </w:cols>
        </w:sectPr>
      </w:pPr>
    </w:p>
    <w:p>
      <w:pPr>
        <w:pStyle w:val="BodyText"/>
        <w:rPr>
          <w:rFonts w:ascii="Calibri"/>
          <w:b/>
        </w:rPr>
      </w:pPr>
      <w:r>
        <w:rPr>
          <w:rFonts w:ascii="Calibri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659892</wp:posOffset>
                </wp:positionH>
                <wp:positionV relativeFrom="page">
                  <wp:posOffset>184404</wp:posOffset>
                </wp:positionV>
                <wp:extent cx="6737984" cy="15062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37984" cy="1506220"/>
                          <a:chExt cx="6737984" cy="15062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8382" y="212470"/>
                            <a:ext cx="1859889" cy="4464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603" cy="1505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9242" y="38480"/>
                            <a:ext cx="6605270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1374775">
                                <a:moveTo>
                                  <a:pt x="0" y="0"/>
                                </a:moveTo>
                                <a:lnTo>
                                  <a:pt x="6605270" y="0"/>
                                </a:lnTo>
                                <a:lnTo>
                                  <a:pt x="6605270" y="1374775"/>
                                </a:lnTo>
                                <a:lnTo>
                                  <a:pt x="0" y="1374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960007pt;margin-top:14.52pt;width:530.550pt;height:118.6pt;mso-position-horizontal-relative:page;mso-position-vertical-relative:page;z-index:15728640" id="docshapegroup1" coordorigin="1039,290" coordsize="10611,2372">
                <v:shape style="position:absolute;left:2265;top:625;width:2929;height:703" type="#_x0000_t75" id="docshape2" stroked="false">
                  <v:imagedata r:id="rId6" o:title=""/>
                </v:shape>
                <v:shape style="position:absolute;left:1039;top:290;width:10611;height:2372" type="#_x0000_t75" id="docshape3" stroked="false">
                  <v:imagedata r:id="rId7" o:title=""/>
                </v:shape>
                <v:rect style="position:absolute;left:1101;top:351;width:10402;height:2165" id="docshape4" filled="false" stroked="true" strokeweight="2pt" strokecolor="#00af5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"/>
          <w:b/>
        </w:rPr>
      </w:pP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21"/>
        <w:rPr>
          <w:rFonts w:ascii="Calibri"/>
          <w:b/>
        </w:rPr>
      </w:pPr>
    </w:p>
    <w:p>
      <w:pPr>
        <w:pStyle w:val="BodyText"/>
        <w:tabs>
          <w:tab w:pos="4612" w:val="left" w:leader="none"/>
          <w:tab w:pos="9679" w:val="left" w:leader="none"/>
        </w:tabs>
        <w:spacing w:before="1"/>
        <w:ind w:left="357"/>
      </w:pPr>
      <w:r>
        <w:rPr/>
        <w:t>NAME</w:t>
      </w:r>
      <w:r>
        <w:rPr>
          <w:spacing w:val="-2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</w:t>
      </w:r>
      <w:r>
        <w:rPr>
          <w:u w:val="none"/>
        </w:rPr>
        <w:t>DEPARTMENT </w:t>
      </w:r>
      <w:r>
        <w:rPr>
          <w:u w:val="single"/>
        </w:rPr>
        <w:tab/>
      </w:r>
    </w:p>
    <w:p>
      <w:pPr>
        <w:pStyle w:val="BodyText"/>
        <w:spacing w:before="40"/>
      </w:pPr>
    </w:p>
    <w:p>
      <w:pPr>
        <w:pStyle w:val="BodyText"/>
        <w:ind w:left="357"/>
      </w:pPr>
      <w:r>
        <w:rPr/>
        <w:t>Select</w:t>
      </w:r>
      <w:r>
        <w:rPr>
          <w:spacing w:val="-9"/>
        </w:rPr>
        <w:t> </w:t>
      </w:r>
      <w:r>
        <w:rPr>
          <w:spacing w:val="-4"/>
        </w:rPr>
        <w:t>one:</w:t>
      </w:r>
    </w:p>
    <w:p>
      <w:pPr>
        <w:pStyle w:val="BodyText"/>
        <w:spacing w:before="83"/>
      </w:pPr>
    </w:p>
    <w:p>
      <w:pPr>
        <w:pStyle w:val="BodyText"/>
        <w:tabs>
          <w:tab w:pos="1077" w:val="left" w:leader="none"/>
        </w:tabs>
        <w:spacing w:before="1"/>
        <w:ind w:left="1257" w:right="1005" w:hanging="852"/>
        <w:rPr>
          <w:rFonts w:ascii="Arial Narrow"/>
        </w:rPr>
      </w:pPr>
      <w:r>
        <w:rPr>
          <w:rFonts w:ascii="Arial Narrow"/>
          <w:u w:val="single"/>
        </w:rPr>
        <w:tab/>
      </w:r>
      <w:r>
        <w:rPr>
          <w:rFonts w:ascii="Arial Narrow"/>
          <w:spacing w:val="80"/>
          <w:u w:val="none"/>
        </w:rPr>
        <w:t> </w:t>
      </w:r>
      <w:r>
        <w:rPr>
          <w:rFonts w:ascii="Arial Narrow"/>
          <w:u w:val="none"/>
        </w:rPr>
        <w:t>Initial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3-year</w:t>
      </w:r>
      <w:r>
        <w:rPr>
          <w:rFonts w:ascii="Arial Narrow"/>
          <w:spacing w:val="-7"/>
          <w:u w:val="none"/>
        </w:rPr>
        <w:t> </w:t>
      </w:r>
      <w:r>
        <w:rPr>
          <w:rFonts w:ascii="Arial Narrow"/>
          <w:u w:val="none"/>
        </w:rPr>
        <w:t>Entitlement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Evaluation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(Articles</w:t>
      </w:r>
      <w:r>
        <w:rPr>
          <w:rFonts w:ascii="Arial Narrow"/>
          <w:spacing w:val="-7"/>
          <w:u w:val="none"/>
        </w:rPr>
        <w:t> </w:t>
      </w:r>
      <w:r>
        <w:rPr>
          <w:rFonts w:ascii="Arial Narrow"/>
          <w:u w:val="none"/>
        </w:rPr>
        <w:t>15.20(d)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and</w:t>
      </w:r>
      <w:r>
        <w:rPr>
          <w:rFonts w:ascii="Arial Narrow"/>
          <w:spacing w:val="-8"/>
          <w:u w:val="none"/>
        </w:rPr>
        <w:t> </w:t>
      </w:r>
      <w:r>
        <w:rPr>
          <w:rFonts w:ascii="Arial Narrow"/>
          <w:u w:val="none"/>
        </w:rPr>
        <w:t>15.28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of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the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Unit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3</w:t>
      </w:r>
      <w:r>
        <w:rPr>
          <w:rFonts w:ascii="Arial Narrow"/>
          <w:spacing w:val="-8"/>
          <w:u w:val="none"/>
        </w:rPr>
        <w:t> </w:t>
      </w:r>
      <w:r>
        <w:rPr>
          <w:rFonts w:ascii="Arial Narrow"/>
          <w:u w:val="none"/>
        </w:rPr>
        <w:t>Collective</w:t>
      </w:r>
      <w:r>
        <w:rPr>
          <w:rFonts w:ascii="Arial Narrow"/>
          <w:spacing w:val="-5"/>
          <w:u w:val="none"/>
        </w:rPr>
        <w:t> </w:t>
      </w:r>
      <w:r>
        <w:rPr>
          <w:rFonts w:ascii="Arial Narrow"/>
          <w:u w:val="none"/>
        </w:rPr>
        <w:t>Bargaining Agreement (CBA)</w:t>
      </w:r>
    </w:p>
    <w:p>
      <w:pPr>
        <w:pStyle w:val="BodyText"/>
        <w:tabs>
          <w:tab w:pos="1077" w:val="left" w:leader="none"/>
        </w:tabs>
        <w:spacing w:before="142"/>
        <w:ind w:left="408"/>
        <w:rPr>
          <w:rFonts w:ascii="Arial Narrow"/>
        </w:rPr>
      </w:pPr>
      <w:r>
        <w:rPr>
          <w:rFonts w:ascii="Arial Narrow"/>
          <w:u w:val="single"/>
        </w:rPr>
        <w:tab/>
      </w:r>
      <w:r>
        <w:rPr>
          <w:rFonts w:ascii="Arial Narrow"/>
          <w:spacing w:val="80"/>
          <w:w w:val="150"/>
          <w:u w:val="none"/>
        </w:rPr>
        <w:t> </w:t>
      </w:r>
      <w:r>
        <w:rPr>
          <w:rFonts w:ascii="Arial Narrow"/>
          <w:u w:val="none"/>
        </w:rPr>
        <w:t>Subsequent 3-year Entitlement Evaluation (Articles 15.20(d) and 15.28 of the CBA)</w:t>
      </w:r>
    </w:p>
    <w:p>
      <w:pPr>
        <w:pStyle w:val="BodyText"/>
        <w:spacing w:before="57"/>
        <w:rPr>
          <w:rFonts w:ascii="Arial Narrow"/>
        </w:rPr>
      </w:pPr>
    </w:p>
    <w:p>
      <w:pPr>
        <w:pStyle w:val="BodyText"/>
        <w:tabs>
          <w:tab w:pos="8947" w:val="left" w:leader="none"/>
        </w:tabs>
        <w:ind w:left="360"/>
      </w:pPr>
      <w:r>
        <w:rPr/>
        <w:t>Period Covered by Evaluation</w:t>
      </w:r>
      <w:r>
        <w:rPr>
          <w:spacing w:val="5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Heading2"/>
        <w:rPr>
          <w:u w:val="none"/>
        </w:rPr>
      </w:pPr>
      <w:r>
        <w:rPr>
          <w:spacing w:val="-2"/>
          <w:u w:val="thick"/>
        </w:rPr>
        <w:t>DEAN/DIRECTOR</w:t>
      </w:r>
      <w:r>
        <w:rPr>
          <w:spacing w:val="3"/>
          <w:u w:val="thick"/>
        </w:rPr>
        <w:t> </w:t>
      </w:r>
      <w:r>
        <w:rPr>
          <w:spacing w:val="-2"/>
          <w:u w:val="thick"/>
        </w:rPr>
        <w:t>EVALUATION</w:t>
      </w:r>
    </w:p>
    <w:p>
      <w:pPr>
        <w:pStyle w:val="BodyText"/>
        <w:spacing w:before="18"/>
        <w:rPr>
          <w:b/>
          <w:sz w:val="20"/>
        </w:rPr>
      </w:pPr>
    </w:p>
    <w:p>
      <w:pPr>
        <w:spacing w:line="261" w:lineRule="auto" w:before="0"/>
        <w:ind w:left="357" w:right="0" w:firstLine="0"/>
        <w:jc w:val="left"/>
        <w:rPr>
          <w:i/>
          <w:sz w:val="20"/>
        </w:rPr>
      </w:pPr>
      <w:r>
        <w:rPr>
          <w:i/>
          <w:sz w:val="20"/>
        </w:rPr>
        <w:t>Evaluation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Dean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required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cumulative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initial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64"/>
          <w:sz w:val="20"/>
        </w:rPr>
        <w:t> </w:t>
      </w:r>
      <w:r>
        <w:rPr>
          <w:i/>
          <w:sz w:val="20"/>
        </w:rPr>
        <w:t>subsequent</w:t>
      </w:r>
      <w:r>
        <w:rPr>
          <w:i/>
          <w:spacing w:val="63"/>
          <w:sz w:val="20"/>
        </w:rPr>
        <w:t> </w:t>
      </w:r>
      <w:r>
        <w:rPr>
          <w:i/>
          <w:sz w:val="20"/>
        </w:rPr>
        <w:t>3-year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appointment.</w:t>
      </w:r>
    </w:p>
    <w:p>
      <w:pPr>
        <w:spacing w:after="0" w:line="261" w:lineRule="auto"/>
        <w:jc w:val="left"/>
        <w:rPr>
          <w:i/>
          <w:sz w:val="20"/>
        </w:rPr>
        <w:sectPr>
          <w:type w:val="continuous"/>
          <w:pgSz w:w="12240" w:h="15840"/>
          <w:pgMar w:top="300" w:bottom="0" w:left="1080" w:right="1440"/>
        </w:sectPr>
      </w:pPr>
    </w:p>
    <w:p>
      <w:pPr>
        <w:spacing w:line="242" w:lineRule="auto" w:before="81"/>
        <w:ind w:left="356" w:right="414" w:firstLine="0"/>
        <w:jc w:val="left"/>
        <w:rPr>
          <w:sz w:val="22"/>
        </w:rPr>
      </w:pP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three-year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appointment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evaluations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only:</w:t>
      </w:r>
      <w:r>
        <w:rPr>
          <w:b/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three-year appointment shall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issued</w:t>
      </w:r>
      <w:r>
        <w:rPr>
          <w:spacing w:val="-2"/>
          <w:sz w:val="22"/>
        </w:rPr>
        <w:t> </w:t>
      </w:r>
      <w:r>
        <w:rPr>
          <w:sz w:val="22"/>
        </w:rPr>
        <w:t>if the</w:t>
      </w:r>
      <w:r>
        <w:rPr>
          <w:spacing w:val="-12"/>
          <w:sz w:val="22"/>
        </w:rPr>
        <w:t> </w:t>
      </w:r>
      <w:r>
        <w:rPr>
          <w:sz w:val="22"/>
        </w:rPr>
        <w:t>temporary</w:t>
      </w:r>
      <w:r>
        <w:rPr>
          <w:spacing w:val="-9"/>
          <w:sz w:val="22"/>
        </w:rPr>
        <w:t> </w:t>
      </w:r>
      <w:r>
        <w:rPr>
          <w:sz w:val="22"/>
        </w:rPr>
        <w:t>faculty</w:t>
      </w:r>
      <w:r>
        <w:rPr>
          <w:spacing w:val="-9"/>
          <w:sz w:val="22"/>
        </w:rPr>
        <w:t> </w:t>
      </w:r>
      <w:r>
        <w:rPr>
          <w:sz w:val="22"/>
        </w:rPr>
        <w:t>unit</w:t>
      </w:r>
      <w:r>
        <w:rPr>
          <w:spacing w:val="-8"/>
          <w:sz w:val="22"/>
        </w:rPr>
        <w:t> </w:t>
      </w:r>
      <w:r>
        <w:rPr>
          <w:sz w:val="22"/>
        </w:rPr>
        <w:t>employee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determined</w:t>
      </w:r>
      <w:r>
        <w:rPr>
          <w:spacing w:val="-10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Dean/Director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have</w:t>
      </w:r>
      <w:r>
        <w:rPr>
          <w:spacing w:val="-10"/>
          <w:sz w:val="22"/>
        </w:rPr>
        <w:t> </w:t>
      </w:r>
      <w:r>
        <w:rPr>
          <w:sz w:val="22"/>
        </w:rPr>
        <w:t>performed</w:t>
      </w:r>
      <w:r>
        <w:rPr>
          <w:spacing w:val="-10"/>
          <w:sz w:val="22"/>
        </w:rPr>
        <w:t> </w:t>
      </w:r>
      <w:r>
        <w:rPr>
          <w:sz w:val="22"/>
        </w:rPr>
        <w:t>in a satisfactory manner in carrying out the duties of their position during the entire qualifying period. (Policy #1336)</w:t>
      </w:r>
    </w:p>
    <w:p>
      <w:pPr>
        <w:pStyle w:val="BodyText"/>
        <w:spacing w:before="26"/>
        <w:rPr>
          <w:sz w:val="22"/>
        </w:rPr>
      </w:pPr>
    </w:p>
    <w:p>
      <w:pPr>
        <w:pStyle w:val="BodyText"/>
        <w:ind w:left="360"/>
      </w:pPr>
      <w:r>
        <w:rPr/>
        <w:t>Dean’s</w:t>
      </w:r>
      <w:r>
        <w:rPr>
          <w:spacing w:val="-10"/>
        </w:rPr>
        <w:t> </w:t>
      </w:r>
      <w:r>
        <w:rPr>
          <w:spacing w:val="-2"/>
        </w:rPr>
        <w:t>Decision:</w:t>
      </w:r>
    </w:p>
    <w:p>
      <w:pPr>
        <w:pStyle w:val="BodyText"/>
        <w:spacing w:before="40"/>
      </w:pPr>
    </w:p>
    <w:p>
      <w:pPr>
        <w:pStyle w:val="BodyText"/>
        <w:tabs>
          <w:tab w:pos="6535" w:val="left" w:leader="none"/>
        </w:tabs>
        <w:ind w:left="12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1104900</wp:posOffset>
                </wp:positionH>
                <wp:positionV relativeFrom="paragraph">
                  <wp:posOffset>-66783</wp:posOffset>
                </wp:positionV>
                <wp:extent cx="215900" cy="2159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  <a:lnTo>
                                <a:pt x="215900" y="215900"/>
                              </a:lnTo>
                              <a:lnTo>
                                <a:pt x="0" y="215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pt;margin-top:-5.258535pt;width:17pt;height:17pt;mso-position-horizontal-relative:page;mso-position-vertical-relative:paragraph;z-index:15730688" id="docshape5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Satisfactory</w:t>
      </w:r>
      <w:r>
        <w:rPr/>
        <w:tab/>
      </w:r>
      <w:r>
        <w:rPr>
          <w:spacing w:val="80"/>
          <w:w w:val="150"/>
          <w:u w:val="single"/>
        </w:rPr>
        <w:t> </w:t>
      </w:r>
      <w:r>
        <w:rPr>
          <w:spacing w:val="22"/>
          <w:w w:val="150"/>
          <w:u w:val="none"/>
        </w:rPr>
        <w:t> </w:t>
      </w:r>
      <w:r>
        <w:rPr>
          <w:u w:val="none"/>
        </w:rPr>
        <w:t>Issue 3-year Entitlement</w:t>
      </w:r>
    </w:p>
    <w:p>
      <w:pPr>
        <w:pStyle w:val="BodyText"/>
        <w:spacing w:before="43"/>
      </w:pPr>
    </w:p>
    <w:p>
      <w:pPr>
        <w:pStyle w:val="BodyText"/>
        <w:tabs>
          <w:tab w:pos="6561" w:val="left" w:leader="none"/>
          <w:tab w:pos="6866" w:val="left" w:leader="none"/>
        </w:tabs>
        <w:spacing w:line="352" w:lineRule="auto"/>
        <w:ind w:left="1233" w:right="1127" w:firstLine="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1104900</wp:posOffset>
                </wp:positionH>
                <wp:positionV relativeFrom="paragraph">
                  <wp:posOffset>-86150</wp:posOffset>
                </wp:positionV>
                <wp:extent cx="215900" cy="2159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0"/>
                              </a:moveTo>
                              <a:lnTo>
                                <a:pt x="215900" y="0"/>
                              </a:lnTo>
                              <a:lnTo>
                                <a:pt x="215900" y="215900"/>
                              </a:lnTo>
                              <a:lnTo>
                                <a:pt x="0" y="215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7pt;margin-top:-6.783484pt;width:17pt;height:17pt;mso-position-horizontal-relative:page;mso-position-vertical-relative:paragraph;z-index:15731200" id="docshape6" filled="false" stroked="true" strokeweight="1pt" strokecolor="#000000">
                <v:stroke dashstyle="solid"/>
                <w10:wrap type="none"/>
              </v:rect>
            </w:pict>
          </mc:Fallback>
        </mc:AlternateContent>
      </w:r>
      <w:r>
        <w:rPr/>
        <w:t>– see reasons above for determination</w:t>
        <w:tab/>
      </w:r>
      <w:r>
        <w:rPr>
          <w:spacing w:val="95"/>
          <w:u w:val="single"/>
        </w:rPr>
        <w:t> </w:t>
      </w:r>
      <w:r>
        <w:rPr>
          <w:spacing w:val="-10"/>
          <w:u w:val="none"/>
        </w:rPr>
        <w:t> </w:t>
      </w:r>
      <w:r>
        <w:rPr>
          <w:u w:val="none"/>
        </w:rPr>
        <w:t>Do</w:t>
      </w:r>
      <w:r>
        <w:rPr>
          <w:spacing w:val="-12"/>
          <w:u w:val="none"/>
        </w:rPr>
        <w:t> </w:t>
      </w:r>
      <w:r>
        <w:rPr>
          <w:u w:val="none"/>
        </w:rPr>
        <w:t>not</w:t>
      </w:r>
      <w:r>
        <w:rPr>
          <w:spacing w:val="-11"/>
          <w:u w:val="none"/>
        </w:rPr>
        <w:t> </w:t>
      </w:r>
      <w:r>
        <w:rPr>
          <w:u w:val="none"/>
        </w:rPr>
        <w:t>issue</w:t>
      </w:r>
      <w:r>
        <w:rPr>
          <w:spacing w:val="-12"/>
          <w:u w:val="none"/>
        </w:rPr>
        <w:t> </w:t>
      </w:r>
      <w:r>
        <w:rPr>
          <w:u w:val="none"/>
        </w:rPr>
        <w:t>3-</w:t>
      </w:r>
      <w:r>
        <w:rPr>
          <w:u w:val="none"/>
        </w:rPr>
        <w:t>year (Dean/Director’s Statement)</w:t>
        <w:tab/>
        <w:tab/>
      </w:r>
      <w:r>
        <w:rPr>
          <w:spacing w:val="-2"/>
          <w:u w:val="none"/>
        </w:rPr>
        <w:t>Entitlement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181957</wp:posOffset>
                </wp:positionV>
                <wp:extent cx="219265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92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2655" h="0">
                              <a:moveTo>
                                <a:pt x="0" y="0"/>
                              </a:moveTo>
                              <a:lnTo>
                                <a:pt x="219265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327336pt;width:172.65pt;height:.1pt;mso-position-horizontal-relative:page;mso-position-vertical-relative:paragraph;z-index:-15728128;mso-wrap-distance-left:0;mso-wrap-distance-right:0" id="docshape7" coordorigin="1440,287" coordsize="3453,0" path="m1440,287l4893,287e" filled="false" stroked="true" strokeweight=".5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3289936</wp:posOffset>
                </wp:positionH>
                <wp:positionV relativeFrom="paragraph">
                  <wp:posOffset>181957</wp:posOffset>
                </wp:positionV>
                <wp:extent cx="18859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0">
                              <a:moveTo>
                                <a:pt x="0" y="0"/>
                              </a:moveTo>
                              <a:lnTo>
                                <a:pt x="1885950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05011pt;margin-top:14.327336pt;width:148.5pt;height:.1pt;mso-position-horizontal-relative:page;mso-position-vertical-relative:paragraph;z-index:-15727616;mso-wrap-distance-left:0;mso-wrap-distance-right:0" id="docshape8" coordorigin="5181,287" coordsize="2970,0" path="m5181,287l8151,287e" filled="false" stroked="true" strokeweight=".5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5388611</wp:posOffset>
                </wp:positionH>
                <wp:positionV relativeFrom="paragraph">
                  <wp:posOffset>181957</wp:posOffset>
                </wp:positionV>
                <wp:extent cx="91376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1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3765" h="0">
                              <a:moveTo>
                                <a:pt x="0" y="0"/>
                              </a:moveTo>
                              <a:lnTo>
                                <a:pt x="913765" y="0"/>
                              </a:lnTo>
                            </a:path>
                          </a:pathLst>
                        </a:custGeom>
                        <a:ln w="67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30011pt;margin-top:14.327336pt;width:71.95pt;height:.1pt;mso-position-horizontal-relative:page;mso-position-vertical-relative:paragraph;z-index:-15727104;mso-wrap-distance-left:0;mso-wrap-distance-right:0" id="docshape9" coordorigin="8486,287" coordsize="1439,0" path="m8486,287l9925,287e" filled="false" stroked="true" strokeweight=".5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091" w:val="left" w:leader="none"/>
          <w:tab w:pos="7420" w:val="left" w:leader="none"/>
        </w:tabs>
        <w:spacing w:before="204"/>
        <w:ind w:left="360" w:right="0" w:firstLine="0"/>
        <w:jc w:val="left"/>
        <w:rPr>
          <w:sz w:val="17"/>
        </w:rPr>
      </w:pPr>
      <w:r>
        <w:rPr>
          <w:sz w:val="17"/>
        </w:rPr>
        <w:t>Dean’s</w:t>
      </w:r>
      <w:r>
        <w:rPr>
          <w:spacing w:val="-11"/>
          <w:sz w:val="17"/>
        </w:rPr>
        <w:t> </w:t>
      </w:r>
      <w:r>
        <w:rPr>
          <w:spacing w:val="-4"/>
          <w:sz w:val="17"/>
        </w:rPr>
        <w:t>Name</w:t>
      </w:r>
      <w:r>
        <w:rPr>
          <w:sz w:val="17"/>
        </w:rPr>
        <w:tab/>
      </w:r>
      <w:r>
        <w:rPr>
          <w:spacing w:val="-2"/>
          <w:sz w:val="17"/>
        </w:rPr>
        <w:t>Signature</w:t>
      </w:r>
      <w:r>
        <w:rPr>
          <w:sz w:val="17"/>
        </w:rPr>
        <w:tab/>
      </w:r>
      <w:r>
        <w:rPr>
          <w:spacing w:val="-4"/>
          <w:sz w:val="17"/>
        </w:rPr>
        <w:t>Date</w:t>
      </w:r>
    </w:p>
    <w:sectPr>
      <w:pgSz w:w="12240" w:h="15840"/>
      <w:pgMar w:top="9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9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Arial" w:hAnsi="Arial" w:eastAsia="Arial" w:cs="Arial"/>
      <w:b/>
      <w:bCs/>
      <w:sz w:val="21"/>
      <w:szCs w:val="2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pp.edu/faculty-affairs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Cal Poly Pomona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Slavin</dc:creator>
  <dcterms:created xsi:type="dcterms:W3CDTF">2026-06-04T19:55:32Z</dcterms:created>
  <dcterms:modified xsi:type="dcterms:W3CDTF">2026-06-04T19:55:32Z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2026-06-04T00:00:00Z</vt:filetime>
  </property>
  <property fmtid="{D5CDD505-2E9C-101B-9397-08002B2CF9AE}" pid="5" name="Producer">
    <vt:lpwstr>Adobe PDF Library 26.1.25</vt:lpwstr>
  </property>
  <property fmtid="{D5CDD505-2E9C-101B-9397-08002B2CF9AE}" pid="6" name="SourceModified">
    <vt:lpwstr/>
  </property>
</Properties>
</file>